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05A" w:rsidRDefault="00DA505A" w:rsidP="00DA505A">
      <w:pPr>
        <w:jc w:val="center"/>
      </w:pPr>
      <w:r>
        <w:rPr>
          <w:rFonts w:hint="eastAsia"/>
        </w:rPr>
        <w:t>論黃宗羲對湛甘泉和王陽明的</w:t>
      </w:r>
      <w:r w:rsidR="007F34EA">
        <w:rPr>
          <w:rFonts w:hint="eastAsia"/>
        </w:rPr>
        <w:t>撿擇</w:t>
      </w:r>
    </w:p>
    <w:p w:rsidR="007D7594" w:rsidRDefault="007D7594" w:rsidP="00DA505A">
      <w:pPr>
        <w:jc w:val="center"/>
      </w:pPr>
    </w:p>
    <w:p w:rsidR="007D7594" w:rsidRDefault="007D7594" w:rsidP="00DA505A">
      <w:pPr>
        <w:jc w:val="center"/>
      </w:pPr>
    </w:p>
    <w:p w:rsidR="007D7594" w:rsidRPr="007D7594" w:rsidRDefault="007D7594" w:rsidP="00DA505A">
      <w:pPr>
        <w:jc w:val="center"/>
        <w:rPr>
          <w:rFonts w:hint="eastAsia"/>
        </w:rPr>
      </w:pPr>
      <w:bookmarkStart w:id="0" w:name="_GoBack"/>
      <w:bookmarkEnd w:id="0"/>
    </w:p>
    <w:p w:rsidR="00DA505A" w:rsidRPr="007F34EA" w:rsidRDefault="00DA505A" w:rsidP="00DA505A"/>
    <w:p w:rsidR="00DA505A" w:rsidRDefault="00DA505A" w:rsidP="00DA505A">
      <w:pPr>
        <w:jc w:val="right"/>
      </w:pPr>
      <w:r>
        <w:rPr>
          <w:rFonts w:hint="eastAsia"/>
        </w:rPr>
        <w:t>台大哲學系教授杜保瑞</w:t>
      </w:r>
    </w:p>
    <w:p w:rsidR="00DA505A" w:rsidRDefault="00DA505A" w:rsidP="00DA505A">
      <w:pPr>
        <w:jc w:val="right"/>
      </w:pPr>
    </w:p>
    <w:p w:rsidR="00DA505A" w:rsidRDefault="00DA505A" w:rsidP="00DA505A">
      <w:r>
        <w:rPr>
          <w:rFonts w:hint="eastAsia"/>
        </w:rPr>
        <w:t>摘要：</w:t>
      </w:r>
    </w:p>
    <w:p w:rsidR="00AB48F9" w:rsidRDefault="00AB48F9" w:rsidP="00DA505A"/>
    <w:p w:rsidR="00AB48F9" w:rsidRDefault="007D7594" w:rsidP="00DA505A">
      <w:r>
        <w:rPr>
          <w:rFonts w:hint="eastAsia"/>
        </w:rPr>
        <w:t xml:space="preserve">    </w:t>
      </w:r>
      <w:r w:rsidR="00AB48F9">
        <w:rPr>
          <w:rFonts w:hint="eastAsia"/>
        </w:rPr>
        <w:t>湛甘泉主張「隨處體認天理」，此說是一工夫論命題，是在主體之心已然識得吾心一以貫之且包涉萬物之後的工夫，便是在日用常行中「隨處體認天理」，</w:t>
      </w:r>
      <w:r w:rsidR="00505726">
        <w:rPr>
          <w:rFonts w:hint="eastAsia"/>
        </w:rPr>
        <w:t>因此，甘泉之工</w:t>
      </w:r>
      <w:r>
        <w:rPr>
          <w:rFonts w:hint="eastAsia"/>
        </w:rPr>
        <w:t>夫，本身就是一套本體工夫論旨，且有境界工夫的意味在，亦即是悟後起</w:t>
      </w:r>
      <w:r w:rsidR="00505726">
        <w:rPr>
          <w:rFonts w:hint="eastAsia"/>
        </w:rPr>
        <w:t>修的境界工夫，此旨亦是對白沙自然意境的體會與繼承。</w:t>
      </w:r>
      <w:r w:rsidR="00FC5B6B">
        <w:rPr>
          <w:rFonts w:hint="eastAsia"/>
        </w:rPr>
        <w:t>甘泉此說，陽明批評有求之於外之失，甘泉反駁，亦批評陽明格物說有重內遺外之失。本文主張，兩家的批評都是誤解他說的無謂臆想。</w:t>
      </w:r>
      <w:r w:rsidR="0052471A">
        <w:rPr>
          <w:rFonts w:hint="eastAsia"/>
        </w:rPr>
        <w:t>惟陽明格物說於《大學》文本簡易宗旨確有偏離之</w:t>
      </w:r>
      <w:r>
        <w:rPr>
          <w:rFonts w:hint="eastAsia"/>
        </w:rPr>
        <w:t>失，但甘泉格物說亦過於提升宗旨，使其直接等同於隨處體認天理之說。</w:t>
      </w:r>
      <w:r w:rsidR="0052471A">
        <w:rPr>
          <w:rFonts w:hint="eastAsia"/>
        </w:rPr>
        <w:t>可以說，兩家都是刻意執著己見</w:t>
      </w:r>
      <w:r>
        <w:rPr>
          <w:rFonts w:hint="eastAsia"/>
        </w:rPr>
        <w:t>，</w:t>
      </w:r>
      <w:r w:rsidR="0052471A">
        <w:rPr>
          <w:rFonts w:hint="eastAsia"/>
        </w:rPr>
        <w:t>並且偏視他說</w:t>
      </w:r>
      <w:r w:rsidR="00367ED0">
        <w:rPr>
          <w:rFonts w:hint="eastAsia"/>
        </w:rPr>
        <w:t>。本文主張</w:t>
      </w:r>
      <w:r w:rsidR="0052471A">
        <w:rPr>
          <w:rFonts w:hint="eastAsia"/>
        </w:rPr>
        <w:t>，</w:t>
      </w:r>
      <w:r w:rsidR="00367ED0">
        <w:rPr>
          <w:rFonts w:hint="eastAsia"/>
        </w:rPr>
        <w:t>對中國哲學的研究，時至今日，都應善解其說，並且以化解衝突為要。</w:t>
      </w:r>
    </w:p>
    <w:p w:rsidR="00DA505A" w:rsidRDefault="00DA505A" w:rsidP="00DA505A"/>
    <w:p w:rsidR="00DA505A" w:rsidRDefault="00DA505A" w:rsidP="00DA505A">
      <w:r>
        <w:rPr>
          <w:rFonts w:hint="eastAsia"/>
        </w:rPr>
        <w:t>關鍵詞：</w:t>
      </w:r>
      <w:r w:rsidR="00367ED0">
        <w:rPr>
          <w:rFonts w:hint="eastAsia"/>
        </w:rPr>
        <w:t>湛甘泉、王陽明、天理、心性圖說。</w:t>
      </w:r>
    </w:p>
    <w:p w:rsidR="00DA505A" w:rsidRDefault="00DA505A" w:rsidP="00DA505A"/>
    <w:p w:rsidR="00DA505A" w:rsidRDefault="00DA505A" w:rsidP="00DA505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前言：</w:t>
      </w:r>
    </w:p>
    <w:p w:rsidR="00DA505A" w:rsidRDefault="00DA505A" w:rsidP="00DA505A"/>
    <w:p w:rsidR="00DA505A" w:rsidRDefault="00DA505A" w:rsidP="00DA505A">
      <w:r>
        <w:rPr>
          <w:rFonts w:hint="eastAsia"/>
        </w:rPr>
        <w:t xml:space="preserve">　　黃宗羲於</w:t>
      </w:r>
      <w:r w:rsidR="007D7594">
        <w:rPr>
          <w:rFonts w:hint="eastAsia"/>
        </w:rPr>
        <w:t>《</w:t>
      </w:r>
      <w:r>
        <w:rPr>
          <w:rFonts w:hint="eastAsia"/>
        </w:rPr>
        <w:t>明儒學案</w:t>
      </w:r>
      <w:r w:rsidR="007D7594">
        <w:rPr>
          <w:rFonts w:hint="eastAsia"/>
        </w:rPr>
        <w:t>》</w:t>
      </w:r>
      <w:r>
        <w:rPr>
          <w:rFonts w:hint="eastAsia"/>
        </w:rPr>
        <w:t>之</w:t>
      </w:r>
      <w:r w:rsidR="007D7594">
        <w:rPr>
          <w:rFonts w:hint="eastAsia"/>
        </w:rPr>
        <w:t>《</w:t>
      </w:r>
      <w:r>
        <w:rPr>
          <w:rFonts w:hint="eastAsia"/>
        </w:rPr>
        <w:t>甘泉學案</w:t>
      </w:r>
      <w:r w:rsidR="007D7594">
        <w:rPr>
          <w:rFonts w:hint="eastAsia"/>
        </w:rPr>
        <w:t>》</w:t>
      </w:r>
      <w:r>
        <w:rPr>
          <w:rFonts w:hint="eastAsia"/>
        </w:rPr>
        <w:t>中，對湛甘泉有一段批評置於文前，基本上對甘泉批評陽明之學有所駁斥。本文之作，將對此文進行再平議。首先說明這一段批評之文</w:t>
      </w:r>
      <w:r w:rsidR="007D7594">
        <w:rPr>
          <w:rFonts w:hint="eastAsia"/>
        </w:rPr>
        <w:t>的主旨</w:t>
      </w:r>
      <w:r>
        <w:rPr>
          <w:rFonts w:hint="eastAsia"/>
        </w:rPr>
        <w:t>，然後說明文中涉及的甘泉學說的要</w:t>
      </w:r>
      <w:r w:rsidR="007D7594">
        <w:rPr>
          <w:rFonts w:hint="eastAsia"/>
        </w:rPr>
        <w:t>點</w:t>
      </w:r>
      <w:r>
        <w:rPr>
          <w:rFonts w:hint="eastAsia"/>
        </w:rPr>
        <w:t>，最終，也是要調和</w:t>
      </w:r>
      <w:r w:rsidR="007D7594">
        <w:rPr>
          <w:rFonts w:hint="eastAsia"/>
        </w:rPr>
        <w:t>王、湛</w:t>
      </w:r>
      <w:r>
        <w:rPr>
          <w:rFonts w:hint="eastAsia"/>
        </w:rPr>
        <w:t>兩家，但仍要指出，甘泉批評陽明之</w:t>
      </w:r>
      <w:r w:rsidR="00AB48F9">
        <w:rPr>
          <w:rFonts w:hint="eastAsia"/>
        </w:rPr>
        <w:t>道理何在</w:t>
      </w:r>
      <w:r>
        <w:rPr>
          <w:rFonts w:hint="eastAsia"/>
        </w:rPr>
        <w:t>。本文之作，將藉由哲學基本問題的疏解，釐清甘泉論旨的問題意識以及概念使用方法，說明其學之合理性，並適為湛</w:t>
      </w:r>
      <w:r w:rsidR="00AB48F9">
        <w:rPr>
          <w:rFonts w:hint="eastAsia"/>
        </w:rPr>
        <w:t>、</w:t>
      </w:r>
      <w:r>
        <w:rPr>
          <w:rFonts w:hint="eastAsia"/>
        </w:rPr>
        <w:t>王兩家的衝突指出要點，並化解衝突。</w:t>
      </w:r>
    </w:p>
    <w:p w:rsidR="00DA505A" w:rsidRDefault="00DA505A" w:rsidP="00DA505A">
      <w:pPr>
        <w:pStyle w:val="a3"/>
        <w:ind w:leftChars="0"/>
      </w:pPr>
    </w:p>
    <w:p w:rsidR="00DA505A" w:rsidRDefault="00DA505A" w:rsidP="00DA505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論黃宗羲對湛甘泉的批評：</w:t>
      </w:r>
    </w:p>
    <w:p w:rsidR="007F34EA" w:rsidRDefault="007F34EA" w:rsidP="007F34EA"/>
    <w:p w:rsidR="007F34EA" w:rsidRDefault="007F34EA" w:rsidP="007F34EA">
      <w:r>
        <w:rPr>
          <w:rFonts w:hint="eastAsia"/>
        </w:rPr>
        <w:t>黃宗羲言：</w:t>
      </w:r>
    </w:p>
    <w:p w:rsidR="007F34EA" w:rsidRDefault="007F34EA" w:rsidP="007F34EA"/>
    <w:p w:rsidR="00062B05" w:rsidRPr="00930E24" w:rsidRDefault="007F34EA" w:rsidP="00062B05">
      <w:pPr>
        <w:ind w:leftChars="300" w:left="720"/>
        <w:rPr>
          <w:rFonts w:ascii="標楷體" w:eastAsia="標楷體" w:hAnsi="標楷體"/>
        </w:rPr>
      </w:pPr>
      <w:r w:rsidRPr="00930E24">
        <w:rPr>
          <w:rFonts w:ascii="標楷體" w:eastAsia="標楷體" w:hAnsi="標楷體" w:hint="eastAsia"/>
        </w:rPr>
        <w:t>先生與陽明分主教事，陽明宗旨致良知，先生宗旨隨處體認天理。學者遂以良知之學，各立門戶。其間為之調人者，謂「天理即良知也，體認即致也，何異？何同？」然先生論格物，條陽明之說四不可。陽明亦言</w:t>
      </w:r>
      <w:r w:rsidRPr="00930E24">
        <w:rPr>
          <w:rFonts w:ascii="標楷體" w:eastAsia="標楷體" w:hAnsi="標楷體" w:hint="eastAsia"/>
        </w:rPr>
        <w:lastRenderedPageBreak/>
        <w:t>隨處體認天理為求之於外，是終不可強之使合也。先生大意，謂陽明訓格為正，訓物為念頭，格物是正念頭也，茍不加學問思辨行之功，則念頭之正否，未可據。夫陽明之正念頭，致其知也，非學問思辨行，何以為致？此不足為陽明格物之說病。先生以為心體萬物而不遺，陽明但指腔子？以為心，故有是內而非外之誚。然天地萬物之理，不外於腔子？，故見心之廣大。若以天地萬物之理，即吾心之理，求之天地萬物，以為廣大，則先生仍為舊說所拘也。天理無處而心其處，心無處而寂然未發者其處，寂然不動，感即在寂之中，則體認者，亦唯體認之於寂而已。今曰隨處體認，無乃體認於感？其言終覺有病也</w:t>
      </w:r>
      <w:r w:rsidR="00062B05">
        <w:rPr>
          <w:rFonts w:ascii="標楷體" w:eastAsia="標楷體" w:hAnsi="標楷體" w:hint="eastAsia"/>
        </w:rPr>
        <w:t>。</w:t>
      </w:r>
    </w:p>
    <w:p w:rsidR="007F34EA" w:rsidRDefault="007F34EA" w:rsidP="00062B05">
      <w:pPr>
        <w:ind w:leftChars="300" w:left="720"/>
        <w:rPr>
          <w:rFonts w:ascii="標楷體" w:eastAsia="標楷體" w:hAnsi="標楷體"/>
        </w:rPr>
      </w:pPr>
      <w:r w:rsidRPr="00930E24">
        <w:rPr>
          <w:rFonts w:ascii="標楷體" w:eastAsia="標楷體" w:hAnsi="標楷體" w:hint="eastAsia"/>
        </w:rPr>
        <w:t>。</w:t>
      </w:r>
      <w:r w:rsidR="00930E24">
        <w:rPr>
          <w:rStyle w:val="a6"/>
        </w:rPr>
        <w:footnoteReference w:id="1"/>
      </w:r>
    </w:p>
    <w:p w:rsidR="00930E24" w:rsidRPr="007F34EA" w:rsidRDefault="00930E24" w:rsidP="00930E24">
      <w:pPr>
        <w:ind w:leftChars="300" w:left="720"/>
      </w:pPr>
    </w:p>
    <w:p w:rsidR="00930E24" w:rsidRDefault="00E10CC4" w:rsidP="007F34EA">
      <w:r>
        <w:rPr>
          <w:rFonts w:hint="eastAsia"/>
        </w:rPr>
        <w:t xml:space="preserve">　　</w:t>
      </w:r>
      <w:r w:rsidR="007F34EA">
        <w:rPr>
          <w:rFonts w:hint="eastAsia"/>
        </w:rPr>
        <w:t>陽明宗旨「致良知」，甘泉宗旨「隨處體認天理」，有調人以為兩者都是</w:t>
      </w:r>
      <w:r w:rsidR="007D7594">
        <w:rPr>
          <w:rFonts w:hint="eastAsia"/>
        </w:rPr>
        <w:t>「</w:t>
      </w:r>
      <w:r w:rsidR="007F34EA">
        <w:rPr>
          <w:rFonts w:hint="eastAsia"/>
        </w:rPr>
        <w:t>良知教</w:t>
      </w:r>
      <w:r w:rsidR="007D7594">
        <w:rPr>
          <w:rFonts w:hint="eastAsia"/>
        </w:rPr>
        <w:t>」</w:t>
      </w:r>
      <w:r w:rsidR="007F34EA">
        <w:rPr>
          <w:rFonts w:hint="eastAsia"/>
        </w:rPr>
        <w:t>，宜其同也。宗羲認為，甘泉批評</w:t>
      </w:r>
      <w:r w:rsidR="007D7594">
        <w:rPr>
          <w:rFonts w:hint="eastAsia"/>
        </w:rPr>
        <w:t>「</w:t>
      </w:r>
      <w:r w:rsidR="007F34EA">
        <w:rPr>
          <w:rFonts w:hint="eastAsia"/>
        </w:rPr>
        <w:t>格物說</w:t>
      </w:r>
      <w:r w:rsidR="007D7594">
        <w:rPr>
          <w:rFonts w:hint="eastAsia"/>
        </w:rPr>
        <w:t>」</w:t>
      </w:r>
      <w:r w:rsidR="007F34EA">
        <w:rPr>
          <w:rFonts w:hint="eastAsia"/>
        </w:rPr>
        <w:t>有其不當，陽明批評</w:t>
      </w:r>
      <w:r w:rsidR="007D7594">
        <w:rPr>
          <w:rFonts w:hint="eastAsia"/>
        </w:rPr>
        <w:t>「</w:t>
      </w:r>
      <w:r w:rsidR="007F34EA">
        <w:rPr>
          <w:rFonts w:hint="eastAsia"/>
        </w:rPr>
        <w:t>隨處說</w:t>
      </w:r>
      <w:r w:rsidR="007D7594">
        <w:rPr>
          <w:rFonts w:hint="eastAsia"/>
        </w:rPr>
        <w:t>」</w:t>
      </w:r>
      <w:r w:rsidR="007F34EA">
        <w:rPr>
          <w:rFonts w:hint="eastAsia"/>
        </w:rPr>
        <w:t>為</w:t>
      </w:r>
      <w:r w:rsidR="007D7594">
        <w:rPr>
          <w:rFonts w:hint="eastAsia"/>
        </w:rPr>
        <w:t>「</w:t>
      </w:r>
      <w:r w:rsidR="007F34EA">
        <w:rPr>
          <w:rFonts w:hint="eastAsia"/>
        </w:rPr>
        <w:t>外理於心</w:t>
      </w:r>
      <w:r w:rsidR="007D7594">
        <w:rPr>
          <w:rFonts w:hint="eastAsia"/>
        </w:rPr>
        <w:t>」</w:t>
      </w:r>
      <w:r w:rsidR="007F34EA">
        <w:rPr>
          <w:rFonts w:hint="eastAsia"/>
        </w:rPr>
        <w:t>。甘泉要旨在陽明之說缺了</w:t>
      </w:r>
      <w:r w:rsidR="007D7594">
        <w:rPr>
          <w:rFonts w:hint="eastAsia"/>
        </w:rPr>
        <w:t>「</w:t>
      </w:r>
      <w:r w:rsidR="007F34EA">
        <w:rPr>
          <w:rFonts w:hint="eastAsia"/>
        </w:rPr>
        <w:t>先知後行</w:t>
      </w:r>
      <w:r w:rsidR="007D7594">
        <w:rPr>
          <w:rFonts w:hint="eastAsia"/>
        </w:rPr>
        <w:t>」</w:t>
      </w:r>
      <w:r w:rsidR="007F34EA">
        <w:rPr>
          <w:rFonts w:hint="eastAsia"/>
        </w:rPr>
        <w:t>的知的一段工夫，黃宗羲的平議，便在</w:t>
      </w:r>
      <w:r w:rsidR="00930E24">
        <w:rPr>
          <w:rFonts w:hint="eastAsia"/>
        </w:rPr>
        <w:t>為</w:t>
      </w:r>
      <w:r w:rsidR="007F34EA">
        <w:rPr>
          <w:rFonts w:hint="eastAsia"/>
        </w:rPr>
        <w:t>陽明之說</w:t>
      </w:r>
      <w:r w:rsidR="00930E24">
        <w:rPr>
          <w:rFonts w:hint="eastAsia"/>
        </w:rPr>
        <w:t>辯</w:t>
      </w:r>
      <w:r w:rsidR="007F34EA">
        <w:rPr>
          <w:rFonts w:hint="eastAsia"/>
        </w:rPr>
        <w:t>護</w:t>
      </w:r>
      <w:r w:rsidR="00023BFE">
        <w:rPr>
          <w:rFonts w:hint="eastAsia"/>
        </w:rPr>
        <w:t>。黃說</w:t>
      </w:r>
      <w:r w:rsidR="00930E24">
        <w:rPr>
          <w:rFonts w:hint="eastAsia"/>
        </w:rPr>
        <w:t>有無道理？筆者認為是有的，那麼</w:t>
      </w:r>
      <w:r w:rsidR="00023BFE">
        <w:rPr>
          <w:rFonts w:hint="eastAsia"/>
        </w:rPr>
        <w:t>，</w:t>
      </w:r>
      <w:r w:rsidR="00930E24">
        <w:rPr>
          <w:rFonts w:hint="eastAsia"/>
        </w:rPr>
        <w:t>甘泉</w:t>
      </w:r>
      <w:r w:rsidR="00023BFE">
        <w:rPr>
          <w:rFonts w:hint="eastAsia"/>
        </w:rPr>
        <w:t>就無</w:t>
      </w:r>
      <w:r w:rsidR="00930E24">
        <w:rPr>
          <w:rFonts w:hint="eastAsia"/>
        </w:rPr>
        <w:t>理</w:t>
      </w:r>
      <w:r w:rsidR="00023BFE">
        <w:rPr>
          <w:rFonts w:hint="eastAsia"/>
        </w:rPr>
        <w:t>嗎</w:t>
      </w:r>
      <w:r w:rsidR="00930E24">
        <w:rPr>
          <w:rFonts w:hint="eastAsia"/>
        </w:rPr>
        <w:t>？</w:t>
      </w:r>
      <w:r w:rsidR="00023BFE">
        <w:rPr>
          <w:rFonts w:hint="eastAsia"/>
        </w:rPr>
        <w:t>也不是，</w:t>
      </w:r>
      <w:r w:rsidR="00930E24">
        <w:rPr>
          <w:rFonts w:hint="eastAsia"/>
        </w:rPr>
        <w:t>這</w:t>
      </w:r>
      <w:r w:rsidR="00023BFE">
        <w:rPr>
          <w:rFonts w:hint="eastAsia"/>
        </w:rPr>
        <w:t>就</w:t>
      </w:r>
      <w:r w:rsidR="00930E24">
        <w:rPr>
          <w:rFonts w:hint="eastAsia"/>
        </w:rPr>
        <w:t>是本文筆者要為甘泉釐清的。</w:t>
      </w:r>
    </w:p>
    <w:p w:rsidR="00930E24" w:rsidRDefault="00930E24" w:rsidP="007F34EA"/>
    <w:p w:rsidR="007F34EA" w:rsidRDefault="00023BFE" w:rsidP="007F34EA">
      <w:r>
        <w:rPr>
          <w:rFonts w:hint="eastAsia"/>
        </w:rPr>
        <w:t xml:space="preserve">    </w:t>
      </w:r>
      <w:r w:rsidR="00930E24">
        <w:rPr>
          <w:rFonts w:hint="eastAsia"/>
        </w:rPr>
        <w:t>首先，甘泉對</w:t>
      </w:r>
      <w:r>
        <w:rPr>
          <w:rFonts w:hint="eastAsia"/>
        </w:rPr>
        <w:t>「</w:t>
      </w:r>
      <w:r w:rsidR="00930E24">
        <w:rPr>
          <w:rFonts w:hint="eastAsia"/>
        </w:rPr>
        <w:t>格物說</w:t>
      </w:r>
      <w:r>
        <w:rPr>
          <w:rFonts w:hint="eastAsia"/>
        </w:rPr>
        <w:t>」</w:t>
      </w:r>
      <w:r w:rsidR="00930E24">
        <w:rPr>
          <w:rFonts w:hint="eastAsia"/>
        </w:rPr>
        <w:t>的批評，筆者認為，關鍵在文本詮釋，亦即對《大學》「格物、致知、誠意、正心」之說的原有意旨的維護，而反對陽明以格物為正念頭意旨之立場，關鍵就在既是正念頭，則誠意</w:t>
      </w:r>
      <w:r>
        <w:rPr>
          <w:rFonts w:hint="eastAsia"/>
        </w:rPr>
        <w:t>、</w:t>
      </w:r>
      <w:r w:rsidR="00930E24">
        <w:rPr>
          <w:rFonts w:hint="eastAsia"/>
        </w:rPr>
        <w:t>正心正是意在於此，至於格物</w:t>
      </w:r>
      <w:r>
        <w:rPr>
          <w:rFonts w:hint="eastAsia"/>
        </w:rPr>
        <w:t>、</w:t>
      </w:r>
      <w:r w:rsidR="00930E24">
        <w:rPr>
          <w:rFonts w:hint="eastAsia"/>
        </w:rPr>
        <w:t>致知，仍有</w:t>
      </w:r>
      <w:r>
        <w:rPr>
          <w:rFonts w:hint="eastAsia"/>
        </w:rPr>
        <w:t>「</w:t>
      </w:r>
      <w:r w:rsidR="00930E24">
        <w:rPr>
          <w:rFonts w:hint="eastAsia"/>
        </w:rPr>
        <w:t>學</w:t>
      </w:r>
      <w:r>
        <w:rPr>
          <w:rFonts w:hint="eastAsia"/>
        </w:rPr>
        <w:t>、</w:t>
      </w:r>
      <w:r w:rsidR="00930E24">
        <w:rPr>
          <w:rFonts w:hint="eastAsia"/>
        </w:rPr>
        <w:t>問</w:t>
      </w:r>
      <w:r>
        <w:rPr>
          <w:rFonts w:hint="eastAsia"/>
        </w:rPr>
        <w:t>、</w:t>
      </w:r>
      <w:r w:rsidR="00930E24">
        <w:rPr>
          <w:rFonts w:hint="eastAsia"/>
        </w:rPr>
        <w:t>思</w:t>
      </w:r>
      <w:r>
        <w:rPr>
          <w:rFonts w:hint="eastAsia"/>
        </w:rPr>
        <w:t>、</w:t>
      </w:r>
      <w:r w:rsidR="00930E24">
        <w:rPr>
          <w:rFonts w:hint="eastAsia"/>
        </w:rPr>
        <w:t>辨</w:t>
      </w:r>
      <w:r>
        <w:rPr>
          <w:rFonts w:hint="eastAsia"/>
        </w:rPr>
        <w:t>」</w:t>
      </w:r>
      <w:r w:rsidR="00930E24">
        <w:rPr>
          <w:rFonts w:hint="eastAsia"/>
        </w:rPr>
        <w:t>的要旨在，不可捨棄。此旨，筆者同意，但黃宗羲認為陽明之說已預設了</w:t>
      </w:r>
      <w:r>
        <w:rPr>
          <w:rFonts w:hint="eastAsia"/>
        </w:rPr>
        <w:t>「</w:t>
      </w:r>
      <w:r w:rsidR="00930E24">
        <w:rPr>
          <w:rFonts w:hint="eastAsia"/>
        </w:rPr>
        <w:t>學</w:t>
      </w:r>
      <w:r>
        <w:rPr>
          <w:rFonts w:hint="eastAsia"/>
        </w:rPr>
        <w:t>、</w:t>
      </w:r>
      <w:r w:rsidR="00930E24">
        <w:rPr>
          <w:rFonts w:hint="eastAsia"/>
        </w:rPr>
        <w:t>問</w:t>
      </w:r>
      <w:r>
        <w:rPr>
          <w:rFonts w:hint="eastAsia"/>
        </w:rPr>
        <w:t>、</w:t>
      </w:r>
      <w:r w:rsidR="00930E24">
        <w:rPr>
          <w:rFonts w:hint="eastAsia"/>
        </w:rPr>
        <w:t>思</w:t>
      </w:r>
      <w:r>
        <w:rPr>
          <w:rFonts w:hint="eastAsia"/>
        </w:rPr>
        <w:t>、</w:t>
      </w:r>
      <w:r w:rsidR="00930E24">
        <w:rPr>
          <w:rFonts w:hint="eastAsia"/>
        </w:rPr>
        <w:t>辨</w:t>
      </w:r>
      <w:r>
        <w:rPr>
          <w:rFonts w:hint="eastAsia"/>
        </w:rPr>
        <w:t>」，意即已有知之功能在，此說，陽明亦自己為自己辯護過了。筆者以為，</w:t>
      </w:r>
      <w:r w:rsidR="00930E24">
        <w:rPr>
          <w:rFonts w:hint="eastAsia"/>
        </w:rPr>
        <w:t>若</w:t>
      </w:r>
      <w:r>
        <w:rPr>
          <w:rFonts w:hint="eastAsia"/>
        </w:rPr>
        <w:t>是</w:t>
      </w:r>
      <w:r w:rsidR="00930E24">
        <w:rPr>
          <w:rFonts w:hint="eastAsia"/>
        </w:rPr>
        <w:t>問題的重點在文本詮釋，則甘泉批評有理。若</w:t>
      </w:r>
      <w:r>
        <w:rPr>
          <w:rFonts w:hint="eastAsia"/>
        </w:rPr>
        <w:t>是</w:t>
      </w:r>
      <w:r w:rsidR="00930E24">
        <w:rPr>
          <w:rFonts w:hint="eastAsia"/>
        </w:rPr>
        <w:t>問題在陽明之說忽略了學問思辨，則陽明否認</w:t>
      </w:r>
      <w:r>
        <w:rPr>
          <w:rFonts w:hint="eastAsia"/>
        </w:rPr>
        <w:t>，</w:t>
      </w:r>
      <w:r w:rsidR="00930E24">
        <w:rPr>
          <w:rFonts w:hint="eastAsia"/>
        </w:rPr>
        <w:t>而</w:t>
      </w:r>
      <w:r>
        <w:rPr>
          <w:rFonts w:hint="eastAsia"/>
        </w:rPr>
        <w:t>黃</w:t>
      </w:r>
      <w:r w:rsidR="00930E24">
        <w:rPr>
          <w:rFonts w:hint="eastAsia"/>
        </w:rPr>
        <w:t>宗羲亦否認，筆者也</w:t>
      </w:r>
      <w:r>
        <w:rPr>
          <w:rFonts w:hint="eastAsia"/>
        </w:rPr>
        <w:t>願</w:t>
      </w:r>
      <w:r w:rsidR="00930E24">
        <w:rPr>
          <w:rFonts w:hint="eastAsia"/>
        </w:rPr>
        <w:t>同意</w:t>
      </w:r>
      <w:r>
        <w:rPr>
          <w:rFonts w:hint="eastAsia"/>
        </w:rPr>
        <w:t>陽明與黃宗羲的立場</w:t>
      </w:r>
      <w:r w:rsidR="00930E24">
        <w:rPr>
          <w:rFonts w:hint="eastAsia"/>
        </w:rPr>
        <w:t>，</w:t>
      </w:r>
      <w:r>
        <w:rPr>
          <w:rFonts w:hint="eastAsia"/>
        </w:rPr>
        <w:t>是</w:t>
      </w:r>
      <w:r w:rsidR="00930E24">
        <w:rPr>
          <w:rFonts w:hint="eastAsia"/>
        </w:rPr>
        <w:t>不必如此批評陽明。</w:t>
      </w:r>
    </w:p>
    <w:p w:rsidR="00930E24" w:rsidRPr="00930E24" w:rsidRDefault="00930E24" w:rsidP="007F34EA"/>
    <w:p w:rsidR="007F34EA" w:rsidRDefault="00023BFE" w:rsidP="007F34EA">
      <w:r>
        <w:rPr>
          <w:rFonts w:hint="eastAsia"/>
        </w:rPr>
        <w:t xml:space="preserve">    </w:t>
      </w:r>
      <w:r w:rsidR="00930E24">
        <w:rPr>
          <w:rFonts w:hint="eastAsia"/>
        </w:rPr>
        <w:t>其次，</w:t>
      </w:r>
      <w:r>
        <w:rPr>
          <w:rFonts w:hint="eastAsia"/>
        </w:rPr>
        <w:t>對於陽明其他學說的看法</w:t>
      </w:r>
      <w:r w:rsidR="00930E24">
        <w:rPr>
          <w:rFonts w:hint="eastAsia"/>
        </w:rPr>
        <w:t>，甘泉認為，陽明有</w:t>
      </w:r>
      <w:r>
        <w:rPr>
          <w:rFonts w:hint="eastAsia"/>
        </w:rPr>
        <w:t>「是內遺</w:t>
      </w:r>
      <w:r w:rsidR="00930E24">
        <w:rPr>
          <w:rFonts w:hint="eastAsia"/>
        </w:rPr>
        <w:t>外</w:t>
      </w:r>
      <w:r>
        <w:rPr>
          <w:rFonts w:hint="eastAsia"/>
        </w:rPr>
        <w:t>」</w:t>
      </w:r>
      <w:r w:rsidR="00930E24">
        <w:rPr>
          <w:rFonts w:hint="eastAsia"/>
        </w:rPr>
        <w:t>之弊，同時，陽明也批評甘泉之說為</w:t>
      </w:r>
      <w:r>
        <w:rPr>
          <w:rFonts w:hint="eastAsia"/>
        </w:rPr>
        <w:t>「</w:t>
      </w:r>
      <w:r w:rsidR="00AB48F9">
        <w:rPr>
          <w:rFonts w:hint="eastAsia"/>
        </w:rPr>
        <w:t>求之於</w:t>
      </w:r>
      <w:r w:rsidR="00930E24">
        <w:rPr>
          <w:rFonts w:hint="eastAsia"/>
        </w:rPr>
        <w:t>外</w:t>
      </w:r>
      <w:r>
        <w:rPr>
          <w:rFonts w:hint="eastAsia"/>
        </w:rPr>
        <w:t>」</w:t>
      </w:r>
      <w:r w:rsidR="00930E24">
        <w:rPr>
          <w:rFonts w:hint="eastAsia"/>
        </w:rPr>
        <w:t>，此說，直接類似於陽明對朱熹的批評。此一爭辯，筆者認為，兩人皆非，都沒有必要這樣批評對方。</w:t>
      </w:r>
      <w:r w:rsidR="00E10CC4">
        <w:rPr>
          <w:rFonts w:hint="eastAsia"/>
        </w:rPr>
        <w:t>至於黃宗羲為</w:t>
      </w:r>
      <w:r>
        <w:rPr>
          <w:rFonts w:hint="eastAsia"/>
        </w:rPr>
        <w:t>支持</w:t>
      </w:r>
      <w:r w:rsidR="00E10CC4">
        <w:rPr>
          <w:rFonts w:hint="eastAsia"/>
        </w:rPr>
        <w:t>陽明之說</w:t>
      </w:r>
      <w:r>
        <w:rPr>
          <w:rFonts w:hint="eastAsia"/>
        </w:rPr>
        <w:t>，</w:t>
      </w:r>
      <w:r w:rsidR="00E10CC4">
        <w:rPr>
          <w:rFonts w:hint="eastAsia"/>
        </w:rPr>
        <w:t>而批評湛甘泉之</w:t>
      </w:r>
      <w:r>
        <w:rPr>
          <w:rFonts w:hint="eastAsia"/>
        </w:rPr>
        <w:t>「</w:t>
      </w:r>
      <w:r w:rsidR="00E10CC4">
        <w:rPr>
          <w:rFonts w:hint="eastAsia"/>
        </w:rPr>
        <w:t>隨處體認</w:t>
      </w:r>
      <w:r>
        <w:rPr>
          <w:rFonts w:hint="eastAsia"/>
        </w:rPr>
        <w:t>」</w:t>
      </w:r>
      <w:r w:rsidR="00E10CC4">
        <w:rPr>
          <w:rFonts w:hint="eastAsia"/>
        </w:rPr>
        <w:t>為</w:t>
      </w:r>
      <w:r>
        <w:rPr>
          <w:rFonts w:hint="eastAsia"/>
        </w:rPr>
        <w:t>「</w:t>
      </w:r>
      <w:r w:rsidR="00E10CC4">
        <w:rPr>
          <w:rFonts w:hint="eastAsia"/>
        </w:rPr>
        <w:t>體認於感</w:t>
      </w:r>
      <w:r>
        <w:rPr>
          <w:rFonts w:hint="eastAsia"/>
        </w:rPr>
        <w:t>」</w:t>
      </w:r>
      <w:r w:rsidR="00E10CC4">
        <w:rPr>
          <w:rFonts w:hint="eastAsia"/>
        </w:rPr>
        <w:t>之</w:t>
      </w:r>
      <w:r>
        <w:rPr>
          <w:rFonts w:hint="eastAsia"/>
        </w:rPr>
        <w:t>說</w:t>
      </w:r>
      <w:r w:rsidR="00E10CC4">
        <w:rPr>
          <w:rFonts w:hint="eastAsia"/>
        </w:rPr>
        <w:t>，就是主張</w:t>
      </w:r>
      <w:r>
        <w:rPr>
          <w:rFonts w:hint="eastAsia"/>
        </w:rPr>
        <w:t>「</w:t>
      </w:r>
      <w:r w:rsidR="00E10CC4">
        <w:rPr>
          <w:rFonts w:hint="eastAsia"/>
        </w:rPr>
        <w:t>體認於外而失內</w:t>
      </w:r>
      <w:r>
        <w:rPr>
          <w:rFonts w:hint="eastAsia"/>
        </w:rPr>
        <w:t>」</w:t>
      </w:r>
      <w:r w:rsidR="00E10CC4">
        <w:rPr>
          <w:rFonts w:hint="eastAsia"/>
        </w:rPr>
        <w:t>，</w:t>
      </w:r>
      <w:r>
        <w:rPr>
          <w:rFonts w:hint="eastAsia"/>
        </w:rPr>
        <w:t>此一批評，</w:t>
      </w:r>
      <w:r w:rsidR="00E10CC4">
        <w:rPr>
          <w:rFonts w:hint="eastAsia"/>
        </w:rPr>
        <w:t>筆者不同意，這絕非甘泉意旨。</w:t>
      </w:r>
    </w:p>
    <w:p w:rsidR="00930E24" w:rsidRPr="00023BFE" w:rsidRDefault="00930E24" w:rsidP="007F34EA"/>
    <w:p w:rsidR="00E10CC4" w:rsidRDefault="00023BFE" w:rsidP="007F34EA">
      <w:r>
        <w:rPr>
          <w:rFonts w:hint="eastAsia"/>
        </w:rPr>
        <w:t xml:space="preserve">    </w:t>
      </w:r>
      <w:r w:rsidR="00E10CC4">
        <w:rPr>
          <w:rFonts w:hint="eastAsia"/>
        </w:rPr>
        <w:t>以下本文的討論，將先澄清湛甘泉「隨處體認天理」的理論意旨，再針對甘泉</w:t>
      </w:r>
      <w:r>
        <w:rPr>
          <w:rFonts w:hint="eastAsia"/>
        </w:rPr>
        <w:t>、</w:t>
      </w:r>
      <w:r w:rsidR="00E10CC4">
        <w:rPr>
          <w:rFonts w:hint="eastAsia"/>
        </w:rPr>
        <w:t>陽明格物之辯進行解析，再討論兩家內外之爭。最終希望罷議衝突，重新找回討論儒學問題的正確方法。</w:t>
      </w:r>
    </w:p>
    <w:p w:rsidR="00E10CC4" w:rsidRPr="00E10CC4" w:rsidRDefault="00E10CC4" w:rsidP="007F34EA"/>
    <w:p w:rsidR="00E10CC4" w:rsidRDefault="00E10CC4" w:rsidP="00DA505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隨處體認天理</w:t>
      </w:r>
    </w:p>
    <w:p w:rsidR="00E10CC4" w:rsidRDefault="00E10CC4" w:rsidP="00E10CC4"/>
    <w:p w:rsidR="00E10CC4" w:rsidRDefault="00023BFE" w:rsidP="00E10CC4">
      <w:r>
        <w:rPr>
          <w:rFonts w:hint="eastAsia"/>
        </w:rPr>
        <w:t xml:space="preserve">    </w:t>
      </w:r>
      <w:r w:rsidR="00062B05">
        <w:rPr>
          <w:rFonts w:hint="eastAsia"/>
        </w:rPr>
        <w:t>湛甘泉的「隨處體認天理」確實是他論學的宗旨，講體認，便是工夫論旨。論工夫，有身體修煉工夫和心理修養工夫，後者可謂本體工夫，都是心在做的，就此義而言，儒家的工夫論，無有不是本體工夫者。然本體工夫亦有類型要旨之別，謂：「工夫入手、工夫次第、境界工夫」</w:t>
      </w:r>
      <w:r w:rsidR="00062B05">
        <w:rPr>
          <w:rStyle w:val="a6"/>
        </w:rPr>
        <w:footnoteReference w:id="2"/>
      </w:r>
      <w:r w:rsidR="00062B05">
        <w:rPr>
          <w:rFonts w:hint="eastAsia"/>
        </w:rPr>
        <w:t>。筆者認為，儒門內部的為學方法之爭，都是本體工夫不同類型的差異及爭執，既是差異，便非對立，故而無須爭執。依甘泉之旨，則是本體工夫中的工夫入手和境界工夫的兩型交用，但亦非否定工夫次第。此旨與陽明同。故而兩家為學方法之爭只在語意之間。以下，先說明甘泉的工夫論旨。甘泉有《心性圖》，是</w:t>
      </w:r>
      <w:r w:rsidR="00F24948">
        <w:rPr>
          <w:rFonts w:hint="eastAsia"/>
        </w:rPr>
        <w:t>他</w:t>
      </w:r>
      <w:r w:rsidR="00062B05">
        <w:rPr>
          <w:rFonts w:hint="eastAsia"/>
        </w:rPr>
        <w:t>對本體宇宙論及本體工夫論的體悟之後的說圖，也是他隨處體認天理的形上依據。</w:t>
      </w:r>
    </w:p>
    <w:p w:rsidR="00E10CC4" w:rsidRPr="00F24948" w:rsidRDefault="00E10CC4" w:rsidP="00E10CC4"/>
    <w:p w:rsidR="00E10CC4" w:rsidRDefault="00062B05" w:rsidP="00E10CC4">
      <w:r>
        <w:rPr>
          <w:rFonts w:hint="eastAsia"/>
        </w:rPr>
        <w:t>《心性圖說》言：</w:t>
      </w:r>
    </w:p>
    <w:p w:rsidR="00062B05" w:rsidRDefault="00062B05" w:rsidP="00E10CC4"/>
    <w:p w:rsidR="00062B05" w:rsidRDefault="00062B05" w:rsidP="00062B05">
      <w:pPr>
        <w:ind w:leftChars="300" w:left="720"/>
        <w:rPr>
          <w:rFonts w:ascii="標楷體" w:eastAsia="標楷體" w:hAnsi="標楷體"/>
        </w:rPr>
      </w:pPr>
      <w:r w:rsidRPr="00062B05">
        <w:rPr>
          <w:rFonts w:ascii="標楷體" w:eastAsia="標楷體" w:hAnsi="標楷體" w:hint="eastAsia"/>
        </w:rPr>
        <w:t>性者，天地萬物一體者也。渾然宇宙，其氣同也。心也而不遺者，體天地萬物者也。性也者，心之生理也，心性非二也。譬之穀焉，具生意而未發，未發故渾然而不可見。及其發也，惻隱羞惡辭讓是非萌焉，仁義禮智自此焉始分矣，故謂之四端。端也者，始也，良心發見之始也。是故始之敬者，戒懼慎獨以養其中也。中立而和發焉，萬事萬化自此焉，達而位育不外是矣。故位育非有加也，全而歸之者耳。終之敬者，即始之敬而不息焉者也。曰：「何以小圈？」曰「心無所不貫也。」「何以大圈？」曰：「心無所不包也。」包與貫，實非二也。故心也者，包乎天地萬物之外，而貫夫天地萬物之中者也。中外非二也。天地無內外，心亦無內外，極言之耳矣。故謂內為本心，而外天地萬物以為心者，小之為心也甚矣。</w:t>
      </w:r>
      <w:r>
        <w:rPr>
          <w:rStyle w:val="a6"/>
        </w:rPr>
        <w:footnoteReference w:id="3"/>
      </w:r>
    </w:p>
    <w:p w:rsidR="00835C95" w:rsidRDefault="00835C95" w:rsidP="00062B05">
      <w:pPr>
        <w:ind w:leftChars="300" w:left="720"/>
      </w:pPr>
    </w:p>
    <w:p w:rsidR="00DA505A" w:rsidRDefault="007E5874" w:rsidP="007E5874">
      <w:r>
        <w:rPr>
          <w:rFonts w:hint="eastAsia"/>
        </w:rPr>
        <w:t xml:space="preserve">　　</w:t>
      </w:r>
      <w:r w:rsidR="00835C95">
        <w:rPr>
          <w:rFonts w:hint="eastAsia"/>
        </w:rPr>
        <w:t>針對本文，筆者暫不疏解細節，</w:t>
      </w:r>
      <w:r w:rsidR="0058602D">
        <w:rPr>
          <w:rFonts w:hint="eastAsia"/>
        </w:rPr>
        <w:t>而要宣暢其旨。儒家接受道家氣化宇宙論，強調氣化而整體一體，此體，有仁義禮知之性在焉，即繼承孟子性善論旨，更強調非只人性之善而乃天地萬物的存在之意義與目的為善，</w:t>
      </w:r>
      <w:r>
        <w:rPr>
          <w:rFonts w:hint="eastAsia"/>
        </w:rPr>
        <w:t>此湛文申說之旨，故其說性，直指天地萬物之理而言，即是天理。而其說心，則是人身的主宰而言，性為天理，且為心之生理，故心性非二，既非二，心包天地萬物，此旨，即是心主天地萬事萬物之理</w:t>
      </w:r>
      <w:r w:rsidR="008517FD">
        <w:rPr>
          <w:rFonts w:hint="eastAsia"/>
        </w:rPr>
        <w:t>，故而不外物而論心</w:t>
      </w:r>
      <w:r>
        <w:rPr>
          <w:rFonts w:hint="eastAsia"/>
        </w:rPr>
        <w:t>。</w:t>
      </w:r>
    </w:p>
    <w:p w:rsidR="008517FD" w:rsidRDefault="008517FD" w:rsidP="007E5874"/>
    <w:p w:rsidR="008517FD" w:rsidRDefault="00342622" w:rsidP="007E5874">
      <w:r>
        <w:rPr>
          <w:rFonts w:hint="eastAsia"/>
        </w:rPr>
        <w:t xml:space="preserve">　　</w:t>
      </w:r>
      <w:r w:rsidR="008517FD">
        <w:rPr>
          <w:rFonts w:hint="eastAsia"/>
        </w:rPr>
        <w:t>甘泉如此建立</w:t>
      </w:r>
      <w:r>
        <w:rPr>
          <w:rFonts w:hint="eastAsia"/>
        </w:rPr>
        <w:t>《</w:t>
      </w:r>
      <w:r w:rsidR="008517FD">
        <w:rPr>
          <w:rFonts w:hint="eastAsia"/>
        </w:rPr>
        <w:t>心性圖</w:t>
      </w:r>
      <w:r>
        <w:rPr>
          <w:rFonts w:hint="eastAsia"/>
        </w:rPr>
        <w:t>說》</w:t>
      </w:r>
      <w:r w:rsidR="008517FD">
        <w:rPr>
          <w:rFonts w:hint="eastAsia"/>
        </w:rPr>
        <w:t>，</w:t>
      </w:r>
      <w:r>
        <w:rPr>
          <w:rFonts w:hint="eastAsia"/>
        </w:rPr>
        <w:t>重點在</w:t>
      </w:r>
      <w:r w:rsidR="008517FD">
        <w:rPr>
          <w:rFonts w:hint="eastAsia"/>
        </w:rPr>
        <w:t>指</w:t>
      </w:r>
      <w:r>
        <w:rPr>
          <w:rFonts w:hint="eastAsia"/>
        </w:rPr>
        <w:t>出</w:t>
      </w:r>
      <w:r w:rsidR="008517FD">
        <w:rPr>
          <w:rFonts w:hint="eastAsia"/>
        </w:rPr>
        <w:t>善體貼之而後的認識，則是已做了本體工夫而後的日用應世，故始於良心發現，終於敬守不息。故而甘泉喜說</w:t>
      </w:r>
      <w:r w:rsidR="003D7577">
        <w:rPr>
          <w:rFonts w:hint="eastAsia"/>
        </w:rPr>
        <w:lastRenderedPageBreak/>
        <w:t>「</w:t>
      </w:r>
      <w:r w:rsidR="008517FD">
        <w:rPr>
          <w:rFonts w:hint="eastAsia"/>
        </w:rPr>
        <w:t>勿忘</w:t>
      </w:r>
      <w:r w:rsidR="003D7577">
        <w:rPr>
          <w:rFonts w:hint="eastAsia"/>
        </w:rPr>
        <w:t>、</w:t>
      </w:r>
      <w:r w:rsidR="008517FD">
        <w:rPr>
          <w:rFonts w:hint="eastAsia"/>
        </w:rPr>
        <w:t>勿助</w:t>
      </w:r>
      <w:r w:rsidR="003D7577">
        <w:rPr>
          <w:rFonts w:hint="eastAsia"/>
        </w:rPr>
        <w:t>」</w:t>
      </w:r>
      <w:r w:rsidR="008517FD">
        <w:rPr>
          <w:rFonts w:hint="eastAsia"/>
        </w:rPr>
        <w:t>，即是已體貼本體之後，肆應一切，</w:t>
      </w:r>
      <w:r>
        <w:rPr>
          <w:rFonts w:hint="eastAsia"/>
        </w:rPr>
        <w:t>沒有私慾夾雜，差不多是王龍溪</w:t>
      </w:r>
      <w:r w:rsidR="003D7577">
        <w:rPr>
          <w:rFonts w:hint="eastAsia"/>
        </w:rPr>
        <w:t>「</w:t>
      </w:r>
      <w:r>
        <w:rPr>
          <w:rFonts w:hint="eastAsia"/>
        </w:rPr>
        <w:t>心意知物都是無善無惡</w:t>
      </w:r>
      <w:r w:rsidR="003D7577">
        <w:rPr>
          <w:rFonts w:hint="eastAsia"/>
        </w:rPr>
        <w:t>」</w:t>
      </w:r>
      <w:r>
        <w:rPr>
          <w:rFonts w:hint="eastAsia"/>
        </w:rPr>
        <w:t>之意旨了。良心發現是工夫入手，始終之敬即是境界工夫，如明道之</w:t>
      </w:r>
      <w:r w:rsidR="003D7577">
        <w:rPr>
          <w:rFonts w:hint="eastAsia"/>
        </w:rPr>
        <w:t>「</w:t>
      </w:r>
      <w:r>
        <w:rPr>
          <w:rFonts w:hint="eastAsia"/>
        </w:rPr>
        <w:t>識得仁體</w:t>
      </w:r>
      <w:r w:rsidR="003D7577">
        <w:rPr>
          <w:rFonts w:hint="eastAsia"/>
        </w:rPr>
        <w:t>」</w:t>
      </w:r>
      <w:r>
        <w:rPr>
          <w:rFonts w:hint="eastAsia"/>
        </w:rPr>
        <w:t>，</w:t>
      </w:r>
      <w:r w:rsidR="003D7577">
        <w:rPr>
          <w:rFonts w:hint="eastAsia"/>
        </w:rPr>
        <w:t>在這樣的基礎下，說「隨處體認天理」就合理了。</w:t>
      </w:r>
    </w:p>
    <w:p w:rsidR="008517FD" w:rsidRDefault="008517FD" w:rsidP="007E5874"/>
    <w:p w:rsidR="008517FD" w:rsidRDefault="003D7577" w:rsidP="00557386">
      <w:pPr>
        <w:ind w:firstLineChars="200" w:firstLine="480"/>
      </w:pPr>
      <w:r>
        <w:rPr>
          <w:rFonts w:hint="eastAsia"/>
        </w:rPr>
        <w:t>孟津問明道、延平、象山意旨</w:t>
      </w:r>
      <w:r w:rsidR="00F86811">
        <w:rPr>
          <w:rStyle w:val="a6"/>
        </w:rPr>
        <w:footnoteReference w:id="4"/>
      </w:r>
      <w:r>
        <w:rPr>
          <w:rFonts w:hint="eastAsia"/>
        </w:rPr>
        <w:t>，甘泉答：</w:t>
      </w:r>
    </w:p>
    <w:p w:rsidR="003D7577" w:rsidRPr="00557386" w:rsidRDefault="003D7577" w:rsidP="007E5874"/>
    <w:p w:rsidR="003D7577" w:rsidRPr="003D7577" w:rsidRDefault="003D7577" w:rsidP="003D7577">
      <w:pPr>
        <w:ind w:leftChars="300" w:left="720"/>
      </w:pPr>
      <w:r w:rsidRPr="003D7577">
        <w:rPr>
          <w:rFonts w:ascii="標楷體" w:eastAsia="標楷體" w:hAnsi="標楷體" w:hint="eastAsia"/>
        </w:rPr>
        <w:t>來問亦看得好。三先生之言，各有所為而發，合而觀之，合一用功乃盡也。吾所謂體認者，非分已發未發，未分動靜。所謂隨處體認天理者，隨已發未發，隨動隨靜，皆吾心之本體，蓋動靜體用一原故也。故彼明鏡然，其明瑩光照者，其本體也。其照物與不照物，任物之來去，而本體自若。心之本體，其於未發已發，或動或靜，亦若是而已矣。若謂靜未發為本體，而外已發而動以為言，恐亦有岐而二之之弊也。前輩多坐此弊，偏內偏外，皆支離而非合內外之道矣。吾《心性圖》備言此意，幸心體之</w:t>
      </w:r>
      <w:r w:rsidRPr="003D7577">
        <w:rPr>
          <w:rFonts w:hint="eastAsia"/>
        </w:rPr>
        <w:t>。</w:t>
      </w:r>
      <w:r>
        <w:rPr>
          <w:rStyle w:val="a6"/>
        </w:rPr>
        <w:footnoteReference w:id="5"/>
      </w:r>
    </w:p>
    <w:p w:rsidR="007E5874" w:rsidRDefault="007E5874" w:rsidP="007E5874"/>
    <w:p w:rsidR="003044DF" w:rsidRDefault="00F86811" w:rsidP="00557386">
      <w:pPr>
        <w:ind w:firstLineChars="200" w:firstLine="480"/>
      </w:pPr>
      <w:r>
        <w:rPr>
          <w:rFonts w:hint="eastAsia"/>
        </w:rPr>
        <w:t>甘泉明講不分未發已發、不分動靜，即是本體已立方能言之，可以說是悟後工夫，應世治事時之作為，隨所面對之事而良心發用，故曰：「隨處體認天理」。</w:t>
      </w:r>
      <w:r w:rsidR="003044DF">
        <w:rPr>
          <w:rFonts w:hint="eastAsia"/>
        </w:rPr>
        <w:t>在此時，直守無害而已。另見：</w:t>
      </w:r>
    </w:p>
    <w:p w:rsidR="003044DF" w:rsidRDefault="003044DF" w:rsidP="007E5874"/>
    <w:p w:rsidR="003044DF" w:rsidRDefault="003044DF" w:rsidP="003044DF">
      <w:pPr>
        <w:ind w:leftChars="300" w:left="720"/>
      </w:pPr>
      <w:r w:rsidRPr="003044DF">
        <w:rPr>
          <w:rFonts w:ascii="標楷體" w:eastAsia="標楷體" w:hAnsi="標楷體" w:hint="eastAsia"/>
        </w:rPr>
        <w:t>隨處體認天理，自初學以上皆然，不分先後，居處恭，執事敬，與人忠，即隨處體認之功，連靜坐亦在內矣</w:t>
      </w:r>
      <w:r w:rsidRPr="003044DF">
        <w:rPr>
          <w:rFonts w:hint="eastAsia"/>
        </w:rPr>
        <w:t>。</w:t>
      </w:r>
      <w:r>
        <w:rPr>
          <w:rStyle w:val="a6"/>
        </w:rPr>
        <w:footnoteReference w:id="6"/>
      </w:r>
    </w:p>
    <w:p w:rsidR="003044DF" w:rsidRDefault="003044DF" w:rsidP="007E5874"/>
    <w:p w:rsidR="003044DF" w:rsidRDefault="003044DF" w:rsidP="00557386">
      <w:pPr>
        <w:ind w:firstLineChars="200" w:firstLine="480"/>
      </w:pPr>
      <w:r>
        <w:rPr>
          <w:rFonts w:hint="eastAsia"/>
        </w:rPr>
        <w:t>文</w:t>
      </w:r>
      <w:r w:rsidR="00557386">
        <w:rPr>
          <w:rFonts w:hint="eastAsia"/>
        </w:rPr>
        <w:t>中</w:t>
      </w:r>
      <w:r>
        <w:rPr>
          <w:rFonts w:hint="eastAsia"/>
        </w:rPr>
        <w:t>言「自初學以上」，即是在儒家德性教育的前提下，既已知我性善，既已知</w:t>
      </w:r>
      <w:r w:rsidR="00557386">
        <w:rPr>
          <w:rFonts w:hint="eastAsia"/>
        </w:rPr>
        <w:t>天地之善，則便是日用常行中守住此善便是工夫，故而甘泉言「隨處」。</w:t>
      </w:r>
      <w:r>
        <w:rPr>
          <w:rFonts w:hint="eastAsia"/>
        </w:rPr>
        <w:t>又見</w:t>
      </w:r>
      <w:r w:rsidR="00557386">
        <w:rPr>
          <w:rFonts w:hint="eastAsia"/>
        </w:rPr>
        <w:t>其言</w:t>
      </w:r>
      <w:r>
        <w:rPr>
          <w:rFonts w:hint="eastAsia"/>
        </w:rPr>
        <w:t>：</w:t>
      </w:r>
    </w:p>
    <w:p w:rsidR="003044DF" w:rsidRDefault="003044DF" w:rsidP="007E5874"/>
    <w:p w:rsidR="003044DF" w:rsidRDefault="003044DF" w:rsidP="003044DF">
      <w:pPr>
        <w:ind w:leftChars="300" w:left="720"/>
        <w:rPr>
          <w:rFonts w:ascii="標楷體" w:eastAsia="標楷體" w:hAnsi="標楷體"/>
        </w:rPr>
      </w:pPr>
      <w:r w:rsidRPr="003044DF">
        <w:rPr>
          <w:rFonts w:ascii="標楷體" w:eastAsia="標楷體" w:hAnsi="標楷體" w:hint="eastAsia"/>
        </w:rPr>
        <w:t>吾所謂天理者，體認於心，即心學也。有事無事，原是此心。無事時萬物一體，有事時物各付物，皆是天理充塞流行，其實無一事。</w:t>
      </w:r>
      <w:r>
        <w:rPr>
          <w:rStyle w:val="a6"/>
        </w:rPr>
        <w:footnoteReference w:id="7"/>
      </w:r>
    </w:p>
    <w:p w:rsidR="003044DF" w:rsidRDefault="003044DF" w:rsidP="003044DF">
      <w:pPr>
        <w:rPr>
          <w:rFonts w:ascii="標楷體" w:eastAsia="標楷體" w:hAnsi="標楷體"/>
        </w:rPr>
      </w:pPr>
    </w:p>
    <w:p w:rsidR="002F4A74" w:rsidRDefault="00557386" w:rsidP="003044DF">
      <w:r>
        <w:rPr>
          <w:rFonts w:hint="eastAsia"/>
        </w:rPr>
        <w:t xml:space="preserve">    </w:t>
      </w:r>
      <w:r w:rsidR="00956B36">
        <w:rPr>
          <w:rFonts w:hint="eastAsia"/>
        </w:rPr>
        <w:t>天理本然，生理之謂，既識天理，存之於心，時時發用，</w:t>
      </w:r>
      <w:r w:rsidR="002F4A74">
        <w:rPr>
          <w:rFonts w:hint="eastAsia"/>
        </w:rPr>
        <w:t>不分有事無事時，即是不分靜坐、讀書、科舉、斷訟、治事、理政之任何時刻。所以筆者說甘泉之旨，等於是悟後工夫。又見：</w:t>
      </w:r>
    </w:p>
    <w:p w:rsidR="002F4A74" w:rsidRDefault="002F4A74" w:rsidP="003044DF"/>
    <w:p w:rsidR="002F4A74" w:rsidRDefault="002F4A74" w:rsidP="002F4A74">
      <w:pPr>
        <w:ind w:leftChars="300" w:left="720"/>
      </w:pPr>
      <w:r w:rsidRPr="002F4A74">
        <w:rPr>
          <w:rFonts w:ascii="標楷體" w:eastAsia="標楷體" w:hAnsi="標楷體" w:hint="eastAsia"/>
        </w:rPr>
        <w:t>靜坐，程門有此傳授。伊川見人靜坐，便歎其善學。然此不是常理。日往月來，一寒一暑，都是自然常理流行，豈分動靜難易？若不察見天理，隨他入關入定，三年九年，與天理何干？若見得天理，則耕田鑿井，百官萬物，金革百萬之眾也，只是自然天理流行。孔門之教，居處恭，執事敬，與人忠。黃門毛式之云：『此是隨處體認天理。』甚看得好。無事時不得不居處恭，即是靜坐也。有執事與人時，如何只要靜坐？使此教大行，則天下皆靜坐，如之何其可也？明道終日端坐如泥塑人，及其接人，渾是一團和氣，何等自然</w:t>
      </w:r>
      <w:r w:rsidRPr="002F4A74">
        <w:rPr>
          <w:rFonts w:hint="eastAsia"/>
        </w:rPr>
        <w:t>！</w:t>
      </w:r>
      <w:r>
        <w:rPr>
          <w:rStyle w:val="a6"/>
        </w:rPr>
        <w:footnoteReference w:id="8"/>
      </w:r>
    </w:p>
    <w:p w:rsidR="002F4A74" w:rsidRDefault="002F4A74" w:rsidP="003044DF"/>
    <w:p w:rsidR="00F86811" w:rsidRDefault="00557386" w:rsidP="003044DF">
      <w:r>
        <w:rPr>
          <w:rFonts w:hint="eastAsia"/>
        </w:rPr>
        <w:t xml:space="preserve">    </w:t>
      </w:r>
      <w:r w:rsidR="006E6BCD">
        <w:rPr>
          <w:rFonts w:hint="eastAsia"/>
        </w:rPr>
        <w:t>本文自是甘泉申說「隨處」意旨，唯對靜坐之討論意旨曉然，值得重視。無事臨在，則靜坐澄心，亦是極好工夫，不過就是</w:t>
      </w:r>
      <w:r>
        <w:rPr>
          <w:rFonts w:hint="eastAsia"/>
        </w:rPr>
        <w:t>「</w:t>
      </w:r>
      <w:r w:rsidR="006E6BCD">
        <w:rPr>
          <w:rFonts w:hint="eastAsia"/>
        </w:rPr>
        <w:t>居處恭</w:t>
      </w:r>
      <w:r>
        <w:rPr>
          <w:rFonts w:hint="eastAsia"/>
        </w:rPr>
        <w:t>」</w:t>
      </w:r>
      <w:r w:rsidR="006E6BCD">
        <w:rPr>
          <w:rFonts w:hint="eastAsia"/>
        </w:rPr>
        <w:t>之旨，不可能講靜坐的儒者是要求終日靜坐而不臨事治理的，「居處恭」誠然善也，一旦有事，便須是「執事敬」，</w:t>
      </w:r>
      <w:r w:rsidR="00980D1D">
        <w:rPr>
          <w:rFonts w:hint="eastAsia"/>
        </w:rPr>
        <w:t>這就是「隨處」的意思，且天理時時在心而能呈現。以上簡說「隨處」意旨，強調是做了工夫以後的隨事應對之作為，因此，「隨處」之前有「煎銷習心」的工夫</w:t>
      </w:r>
      <w:r w:rsidR="00677F48">
        <w:rPr>
          <w:rFonts w:hint="eastAsia"/>
        </w:rPr>
        <w:t>入手之旨</w:t>
      </w:r>
      <w:r w:rsidR="00980D1D">
        <w:rPr>
          <w:rFonts w:hint="eastAsia"/>
        </w:rPr>
        <w:t>，「隨處」之時則是</w:t>
      </w:r>
      <w:r w:rsidR="003044DF">
        <w:rPr>
          <w:rFonts w:hint="eastAsia"/>
        </w:rPr>
        <w:t>「勿忘勿助」</w:t>
      </w:r>
      <w:r w:rsidR="00677F48">
        <w:rPr>
          <w:rFonts w:hint="eastAsia"/>
        </w:rPr>
        <w:t>的境界工夫</w:t>
      </w:r>
      <w:r w:rsidR="003044DF">
        <w:rPr>
          <w:rFonts w:hint="eastAsia"/>
        </w:rPr>
        <w:t>之</w:t>
      </w:r>
      <w:r w:rsidR="00980D1D">
        <w:rPr>
          <w:rFonts w:hint="eastAsia"/>
        </w:rPr>
        <w:t>宗</w:t>
      </w:r>
      <w:r w:rsidR="003044DF">
        <w:rPr>
          <w:rFonts w:hint="eastAsia"/>
        </w:rPr>
        <w:t>旨。</w:t>
      </w:r>
      <w:r>
        <w:rPr>
          <w:rFonts w:hint="eastAsia"/>
        </w:rPr>
        <w:t>參見</w:t>
      </w:r>
      <w:r w:rsidR="003044DF">
        <w:rPr>
          <w:rFonts w:hint="eastAsia"/>
        </w:rPr>
        <w:t>其言：</w:t>
      </w:r>
    </w:p>
    <w:p w:rsidR="003044DF" w:rsidRDefault="003044DF" w:rsidP="007E5874"/>
    <w:p w:rsidR="00980D1D" w:rsidRDefault="00980D1D" w:rsidP="00980D1D">
      <w:pPr>
        <w:ind w:leftChars="300" w:left="720"/>
      </w:pPr>
      <w:r w:rsidRPr="00980D1D">
        <w:rPr>
          <w:rFonts w:ascii="標楷體" w:eastAsia="標楷體" w:hAnsi="標楷體" w:hint="eastAsia"/>
        </w:rPr>
        <w:t>或問：「學貴煎銷習心，心之習也，豈其固有之污歟？」曰：「非固有也，形而後有者也，外鑠而中受之也。如秦人之悍也，楚人之詐也，心之習於風氣者也。處富而鄙吝，與處約而好侈靡者，心之習於居養者也，故曰：『性相近也，習相遠也。』煎銷也者，煉金之名也。金之精也，有污於鉛者，有污於銅者，有污於糞土之侵蝕者，非煉之不可去也。故金必百煉而後精，心必百煉而後明。」先生曰：「此說得之。認得本體，便知習心，習心去而本體完全矣，不是將本體來換了習心，本體元自在，習心蔽之，故若不見耳。不然，見赤子入井，便知何發出來？故煎銷習心，便是體認天理工夫。到見得天理時，習心便退聽。如煎銷鉛銅，便是煉金，然必須就爐錘，乃得煉之之功。今之外事以求靜者，如置金於密室，不就爐錘，雖千萬年也，只依舊是頑雜的金</w:t>
      </w:r>
      <w:r w:rsidRPr="00980D1D">
        <w:rPr>
          <w:rFonts w:hint="eastAsia"/>
        </w:rPr>
        <w:t>。」</w:t>
      </w:r>
      <w:r>
        <w:rPr>
          <w:rStyle w:val="a6"/>
        </w:rPr>
        <w:footnoteReference w:id="9"/>
      </w:r>
    </w:p>
    <w:p w:rsidR="003044DF" w:rsidRDefault="003044DF" w:rsidP="007E5874"/>
    <w:p w:rsidR="003044DF" w:rsidRDefault="00980D1D" w:rsidP="007E5874">
      <w:r>
        <w:rPr>
          <w:rFonts w:hint="eastAsia"/>
        </w:rPr>
        <w:t xml:space="preserve">    </w:t>
      </w:r>
      <w:r>
        <w:rPr>
          <w:rFonts w:hint="eastAsia"/>
        </w:rPr>
        <w:t>「煎銷習心」亦是甘泉論學宗旨，講得就是「去人欲」之工夫，「習心」就是後天的人欲橫流，然本體是善，人性是善，故而人欲是「形而後有者也」，這</w:t>
      </w:r>
      <w:r>
        <w:rPr>
          <w:rFonts w:hint="eastAsia"/>
        </w:rPr>
        <w:lastRenderedPageBreak/>
        <w:t>就是程朱之學講</w:t>
      </w:r>
      <w:r w:rsidR="00FE597E">
        <w:rPr>
          <w:rFonts w:hint="eastAsia"/>
        </w:rPr>
        <w:t>「</w:t>
      </w:r>
      <w:r>
        <w:rPr>
          <w:rFonts w:hint="eastAsia"/>
        </w:rPr>
        <w:t>氣稟</w:t>
      </w:r>
      <w:r w:rsidR="00FE597E">
        <w:rPr>
          <w:rFonts w:hint="eastAsia"/>
        </w:rPr>
        <w:t>」</w:t>
      </w:r>
      <w:r>
        <w:rPr>
          <w:rFonts w:hint="eastAsia"/>
        </w:rPr>
        <w:t>之說的意旨，</w:t>
      </w:r>
      <w:r w:rsidR="00FE597E">
        <w:rPr>
          <w:rFonts w:hint="eastAsia"/>
        </w:rPr>
        <w:t>目的在說明性善本體之下，為惡的形上學依據，其實是氣稟之需的過度為惡，氣稟本不是惡，本體是善，氣稟之本體就是善，但氣稟成形而有耳目口鼻之需，行為上過度為惡。行為成習，故惡以習說之，「性相近、習相遠」也。唯習非本體，故而「習心去而本體完全矣」，且「煎銷習心，便是體認天理工夫」。故而筆者說，「隨處體認天理」之前還要已有「煎銷習心」</w:t>
      </w:r>
      <w:r w:rsidR="004715C2">
        <w:rPr>
          <w:rFonts w:hint="eastAsia"/>
        </w:rPr>
        <w:t>的工夫入手</w:t>
      </w:r>
      <w:r w:rsidR="00FE597E">
        <w:rPr>
          <w:rFonts w:hint="eastAsia"/>
        </w:rPr>
        <w:t>，</w:t>
      </w:r>
      <w:r w:rsidR="001736C9">
        <w:rPr>
          <w:rFonts w:hint="eastAsia"/>
        </w:rPr>
        <w:t>待天理現，習心退，則無分未發已發、不分於動於靜，隨事體認、隨事應對，</w:t>
      </w:r>
      <w:r w:rsidR="004715C2">
        <w:rPr>
          <w:rFonts w:hint="eastAsia"/>
        </w:rPr>
        <w:t>便是境界工夫了。</w:t>
      </w:r>
      <w:r w:rsidR="00677F48">
        <w:rPr>
          <w:rFonts w:hint="eastAsia"/>
        </w:rPr>
        <w:t>此說，當然是性善論旨下的工夫論，從理論模型說，與孟子、象山、陽明毫無差別。故而筆者強調，甘泉可以如此昭昭然說「隨處體認天理」，是建立於形上學的性善本體的理論前提上，且是建立於工夫論的已經做了去習心的本體工夫之後，而仍以心拳手此天理，故而既是工夫入手，也是境界工夫。說</w:t>
      </w:r>
      <w:r w:rsidR="004715C2">
        <w:rPr>
          <w:rFonts w:hint="eastAsia"/>
        </w:rPr>
        <w:t>「</w:t>
      </w:r>
      <w:r w:rsidR="00677F48">
        <w:rPr>
          <w:rFonts w:hint="eastAsia"/>
        </w:rPr>
        <w:t>工夫入手</w:t>
      </w:r>
      <w:r w:rsidR="004715C2">
        <w:rPr>
          <w:rFonts w:hint="eastAsia"/>
        </w:rPr>
        <w:t>」</w:t>
      </w:r>
      <w:r w:rsidR="00677F48">
        <w:rPr>
          <w:rFonts w:hint="eastAsia"/>
        </w:rPr>
        <w:t>指其</w:t>
      </w:r>
      <w:r w:rsidR="004715C2">
        <w:rPr>
          <w:rFonts w:hint="eastAsia"/>
        </w:rPr>
        <w:t>「</w:t>
      </w:r>
      <w:r w:rsidR="00677F48">
        <w:rPr>
          <w:rFonts w:hint="eastAsia"/>
        </w:rPr>
        <w:t>必去習心而使天理現</w:t>
      </w:r>
      <w:r w:rsidR="004715C2">
        <w:rPr>
          <w:rFonts w:hint="eastAsia"/>
        </w:rPr>
        <w:t>」</w:t>
      </w:r>
      <w:r w:rsidR="00677F48">
        <w:rPr>
          <w:rFonts w:hint="eastAsia"/>
        </w:rPr>
        <w:t>，說</w:t>
      </w:r>
      <w:r w:rsidR="004715C2">
        <w:rPr>
          <w:rFonts w:hint="eastAsia"/>
        </w:rPr>
        <w:t>「</w:t>
      </w:r>
      <w:r w:rsidR="00677F48">
        <w:rPr>
          <w:rFonts w:hint="eastAsia"/>
        </w:rPr>
        <w:t>境界工夫</w:t>
      </w:r>
      <w:r w:rsidR="004715C2">
        <w:rPr>
          <w:rFonts w:hint="eastAsia"/>
        </w:rPr>
        <w:t>」</w:t>
      </w:r>
      <w:r w:rsidR="00677F48">
        <w:rPr>
          <w:rFonts w:hint="eastAsia"/>
        </w:rPr>
        <w:t>指其</w:t>
      </w:r>
      <w:r w:rsidR="004715C2">
        <w:rPr>
          <w:rFonts w:hint="eastAsia"/>
        </w:rPr>
        <w:t>「</w:t>
      </w:r>
      <w:r w:rsidR="00677F48">
        <w:rPr>
          <w:rFonts w:hint="eastAsia"/>
        </w:rPr>
        <w:t>以敬存之而勿忘勿助</w:t>
      </w:r>
      <w:r w:rsidR="004715C2">
        <w:rPr>
          <w:rFonts w:hint="eastAsia"/>
        </w:rPr>
        <w:t>」</w:t>
      </w:r>
      <w:r w:rsidR="00677F48">
        <w:rPr>
          <w:rFonts w:hint="eastAsia"/>
        </w:rPr>
        <w:t>。參見：</w:t>
      </w:r>
    </w:p>
    <w:p w:rsidR="00677F48" w:rsidRDefault="00677F48" w:rsidP="007E5874"/>
    <w:p w:rsidR="00677F48" w:rsidRDefault="00ED2982" w:rsidP="00ED2982">
      <w:pPr>
        <w:ind w:leftChars="300" w:left="720"/>
      </w:pPr>
      <w:r w:rsidRPr="00ED2982">
        <w:rPr>
          <w:rFonts w:ascii="標楷體" w:eastAsia="標楷體" w:hAnsi="標楷體" w:hint="eastAsia"/>
        </w:rPr>
        <w:t>學者之病，全在三截兩截，不成片段，靜坐時自靜坐，讀書時又自讀書，酬應時又自酬應，如人身血氣不通，安得長進？元來只是敬上理會未透，故未有得力處，又或以內外為二而離之。吾人切要，只於執事敬用功，自獨處以至讀書酬應，無非此意，一以貫之，內外上下，莫非此理，更有何事？吾儒開物成務之學，異於佛老者，此也。《答徐曰仁》</w:t>
      </w:r>
      <w:r>
        <w:rPr>
          <w:rStyle w:val="a6"/>
        </w:rPr>
        <w:footnoteReference w:id="10"/>
      </w:r>
    </w:p>
    <w:p w:rsidR="003044DF" w:rsidRDefault="003044DF" w:rsidP="007E5874"/>
    <w:p w:rsidR="009B29EB" w:rsidRDefault="004715C2" w:rsidP="007E5874">
      <w:r>
        <w:rPr>
          <w:rFonts w:hint="eastAsia"/>
        </w:rPr>
        <w:t xml:space="preserve">    </w:t>
      </w:r>
      <w:r w:rsidR="00786AB9">
        <w:rPr>
          <w:rFonts w:hint="eastAsia"/>
        </w:rPr>
        <w:t>本文申說吾儒之病，全在破片，主張</w:t>
      </w:r>
      <w:r w:rsidR="00DE24A1">
        <w:rPr>
          <w:rFonts w:hint="eastAsia"/>
        </w:rPr>
        <w:t>「原來只是敬上理會未透」、</w:t>
      </w:r>
      <w:r w:rsidR="00786AB9">
        <w:rPr>
          <w:rFonts w:hint="eastAsia"/>
        </w:rPr>
        <w:t>「只於執事敬用功」，</w:t>
      </w:r>
      <w:r w:rsidR="00DE24A1">
        <w:rPr>
          <w:rFonts w:hint="eastAsia"/>
        </w:rPr>
        <w:t>這樣就可以「一以貫之」</w:t>
      </w:r>
      <w:r w:rsidR="009B29EB">
        <w:rPr>
          <w:rFonts w:hint="eastAsia"/>
        </w:rPr>
        <w:t>。這些說法</w:t>
      </w:r>
      <w:r w:rsidR="00DE24A1">
        <w:rPr>
          <w:rFonts w:hint="eastAsia"/>
        </w:rPr>
        <w:t>，</w:t>
      </w:r>
      <w:r w:rsidR="009B29EB">
        <w:rPr>
          <w:rFonts w:hint="eastAsia"/>
        </w:rPr>
        <w:t>都必須如明道所言之「識得仁體」之後才可說的。也就是指向「悟後工夫」。悟後，就是誠敬守之，就是「執事敬」就好了，就是「隨處體認天理」。又見：</w:t>
      </w:r>
    </w:p>
    <w:p w:rsidR="009B29EB" w:rsidRDefault="009B29EB" w:rsidP="007E5874"/>
    <w:p w:rsidR="009B29EB" w:rsidRDefault="009B29EB" w:rsidP="009B29EB">
      <w:pPr>
        <w:ind w:leftChars="300" w:left="720"/>
      </w:pPr>
      <w:r w:rsidRPr="009B29EB">
        <w:rPr>
          <w:rFonts w:ascii="標楷體" w:eastAsia="標楷體" w:hAnsi="標楷體" w:hint="eastAsia"/>
        </w:rPr>
        <w:t>執事敬，最是切要，徹上徹下，一了百了，致知涵養，此其地也。所謂致知涵養者，察見天理而存之也，非二事也。《答鄧瞻兄弟》</w:t>
      </w:r>
      <w:r>
        <w:rPr>
          <w:rStyle w:val="a6"/>
        </w:rPr>
        <w:footnoteReference w:id="11"/>
      </w:r>
    </w:p>
    <w:p w:rsidR="009B29EB" w:rsidRDefault="009B29EB" w:rsidP="007E5874"/>
    <w:p w:rsidR="009B29EB" w:rsidRDefault="003D2E40" w:rsidP="007E5874">
      <w:r>
        <w:rPr>
          <w:rFonts w:hint="eastAsia"/>
        </w:rPr>
        <w:t xml:space="preserve">    </w:t>
      </w:r>
      <w:r w:rsidR="009B29EB">
        <w:rPr>
          <w:rFonts w:hint="eastAsia"/>
        </w:rPr>
        <w:t>「執事敬」，就是事上認真，吾儒自是理事</w:t>
      </w:r>
      <w:r w:rsidR="006C6B68">
        <w:rPr>
          <w:rFonts w:hint="eastAsia"/>
        </w:rPr>
        <w:t>、</w:t>
      </w:r>
      <w:r w:rsidR="009B29EB">
        <w:rPr>
          <w:rFonts w:hint="eastAsia"/>
        </w:rPr>
        <w:t>治事</w:t>
      </w:r>
      <w:r w:rsidR="006C6B68">
        <w:rPr>
          <w:rFonts w:hint="eastAsia"/>
        </w:rPr>
        <w:t>、</w:t>
      </w:r>
      <w:r w:rsidR="009B29EB">
        <w:rPr>
          <w:rFonts w:hint="eastAsia"/>
        </w:rPr>
        <w:t>管天下事的，</w:t>
      </w:r>
      <w:r w:rsidR="00D732B7">
        <w:rPr>
          <w:rFonts w:hint="eastAsia"/>
        </w:rPr>
        <w:t>不論工夫修養到何種境界，都是要入世治事的，《心性圖說》中已經將此心包含天地萬物，即是於本體上主張心性不二，即是主張</w:t>
      </w:r>
      <w:r>
        <w:rPr>
          <w:rFonts w:hint="eastAsia"/>
        </w:rPr>
        <w:t>「</w:t>
      </w:r>
      <w:r w:rsidR="00D732B7">
        <w:rPr>
          <w:rFonts w:hint="eastAsia"/>
        </w:rPr>
        <w:t>人心即天理</w:t>
      </w:r>
      <w:r>
        <w:rPr>
          <w:rFonts w:hint="eastAsia"/>
        </w:rPr>
        <w:t>」</w:t>
      </w:r>
      <w:r w:rsidR="00D732B7">
        <w:rPr>
          <w:rFonts w:hint="eastAsia"/>
        </w:rPr>
        <w:t>，</w:t>
      </w:r>
      <w:r w:rsidR="008069EE">
        <w:rPr>
          <w:rFonts w:hint="eastAsia"/>
        </w:rPr>
        <w:t>即是申說人要「察見天理而存之」，</w:t>
      </w:r>
      <w:r w:rsidR="00643157">
        <w:rPr>
          <w:rFonts w:hint="eastAsia"/>
        </w:rPr>
        <w:t>天理在事物上顯現，所以致知之功，涵養之本都是要旨，亦即要深切了解，以及誠敬實踐。而處置之時，便是要勿忘勿助。</w:t>
      </w:r>
    </w:p>
    <w:p w:rsidR="009B29EB" w:rsidRPr="008069EE" w:rsidRDefault="009B29EB" w:rsidP="007E5874"/>
    <w:p w:rsidR="00786AB9" w:rsidRDefault="00643157" w:rsidP="007E5874">
      <w:r>
        <w:rPr>
          <w:rFonts w:hint="eastAsia"/>
        </w:rPr>
        <w:t xml:space="preserve">    </w:t>
      </w:r>
      <w:r w:rsidR="009B29EB">
        <w:rPr>
          <w:rFonts w:hint="eastAsia"/>
        </w:rPr>
        <w:t>此處，筆者要強調的是，甘泉自是白沙弟子，白沙自然之說便是境界工夫，在境界中方可說勿忘勿助，故而</w:t>
      </w:r>
      <w:r>
        <w:rPr>
          <w:rFonts w:hint="eastAsia"/>
        </w:rPr>
        <w:t>對「執事敬」的</w:t>
      </w:r>
      <w:r w:rsidR="009B29EB">
        <w:rPr>
          <w:rFonts w:hint="eastAsia"/>
        </w:rPr>
        <w:t>「誠敬守之」</w:t>
      </w:r>
      <w:r>
        <w:rPr>
          <w:rFonts w:hint="eastAsia"/>
        </w:rPr>
        <w:t>，便與</w:t>
      </w:r>
      <w:r w:rsidR="009B29EB">
        <w:rPr>
          <w:rFonts w:hint="eastAsia"/>
        </w:rPr>
        <w:t>「勿忘勿助」</w:t>
      </w:r>
      <w:r>
        <w:rPr>
          <w:rFonts w:hint="eastAsia"/>
        </w:rPr>
        <w:t>共成</w:t>
      </w:r>
      <w:r w:rsidR="009B29EB">
        <w:rPr>
          <w:rFonts w:hint="eastAsia"/>
        </w:rPr>
        <w:t>甘泉一套境界工夫論旨，參見其言：</w:t>
      </w:r>
    </w:p>
    <w:p w:rsidR="009B29EB" w:rsidRDefault="009B29EB" w:rsidP="007E5874"/>
    <w:p w:rsidR="009B29EB" w:rsidRDefault="00643157" w:rsidP="00865AD8">
      <w:pPr>
        <w:ind w:leftChars="300" w:left="720"/>
        <w:rPr>
          <w:rFonts w:ascii="標楷體" w:eastAsia="標楷體" w:hAnsi="標楷體"/>
        </w:rPr>
      </w:pPr>
      <w:r w:rsidRPr="00865AD8">
        <w:rPr>
          <w:rFonts w:ascii="標楷體" w:eastAsia="標楷體" w:hAnsi="標楷體" w:hint="eastAsia"/>
        </w:rPr>
        <w:t>勿忘勿助，只是說一個敬字。忘、助皆非心之本體，此是心學最精密處，不容一毫人力，故先師又發出自然之說，至矣。來諭忘助二字，乃分開看，區區會程子之意，只作一時一段看。蓋勿忘勿助之間，只是中正處也。學者下手，須要理會自然工夫，不須疑其為聖人熟後事，而姑為他求。蓋聖學只此一個路頭，更無別個路頭，若尋別路，終枉了一生也。《答聶文蔚》</w:t>
      </w:r>
      <w:r>
        <w:rPr>
          <w:rStyle w:val="a6"/>
        </w:rPr>
        <w:footnoteReference w:id="12"/>
      </w:r>
    </w:p>
    <w:p w:rsidR="00865AD8" w:rsidRDefault="00865AD8" w:rsidP="00865AD8">
      <w:pPr>
        <w:rPr>
          <w:rFonts w:ascii="標楷體" w:eastAsia="標楷體" w:hAnsi="標楷體"/>
        </w:rPr>
      </w:pPr>
    </w:p>
    <w:p w:rsidR="00865AD8" w:rsidRDefault="003D2E40" w:rsidP="00865AD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</w:t>
      </w:r>
      <w:r w:rsidR="0038283E" w:rsidRPr="0038283E">
        <w:rPr>
          <w:rFonts w:asciiTheme="minorEastAsia" w:hAnsiTheme="minorEastAsia" w:hint="eastAsia"/>
        </w:rPr>
        <w:t>「執事敬」</w:t>
      </w:r>
      <w:r w:rsidR="0038283E">
        <w:rPr>
          <w:rFonts w:asciiTheme="minorEastAsia" w:hAnsiTheme="minorEastAsia" w:hint="eastAsia"/>
        </w:rPr>
        <w:t>即是在事上體認天理，以天理之善為處事進退之道，處置之時，以敬守之，以敬守之就是勿忘勿助，意思是說，別無他念，無習心，無利益權勢之念。說是「心學最精密處」，就是說這是心學最高境界，「</w:t>
      </w:r>
      <w:r w:rsidR="0038283E" w:rsidRPr="0038283E">
        <w:rPr>
          <w:rFonts w:asciiTheme="minorEastAsia" w:hAnsiTheme="minorEastAsia" w:hint="eastAsia"/>
        </w:rPr>
        <w:t>不須疑其為聖人熟後事，而姑為他求。</w:t>
      </w:r>
      <w:r w:rsidR="0038283E">
        <w:rPr>
          <w:rFonts w:asciiTheme="minorEastAsia" w:hAnsiTheme="minorEastAsia" w:hint="eastAsia"/>
        </w:rPr>
        <w:t>」就是說這是聖人作為之</w:t>
      </w:r>
      <w:r>
        <w:rPr>
          <w:rFonts w:asciiTheme="minorEastAsia" w:hAnsiTheme="minorEastAsia" w:hint="eastAsia"/>
        </w:rPr>
        <w:t>宗旨，但也就是任何人做工夫的宗旨，不能說這是聖人工夫而凡人就不</w:t>
      </w:r>
      <w:r w:rsidR="0038283E">
        <w:rPr>
          <w:rFonts w:asciiTheme="minorEastAsia" w:hAnsiTheme="minorEastAsia" w:hint="eastAsia"/>
        </w:rPr>
        <w:t>必這麼做了。若要學做聖賢，「只此一個路頭」，「若尋別路」就是忘助之間，就是別念叢生。此說正是白沙「自然」宗旨。「自然」者依循本體而無他事他念，勿忘勿助也。</w:t>
      </w:r>
    </w:p>
    <w:p w:rsidR="0038283E" w:rsidRDefault="0038283E" w:rsidP="00865AD8">
      <w:pPr>
        <w:rPr>
          <w:rFonts w:asciiTheme="minorEastAsia" w:hAnsiTheme="minorEastAsia"/>
        </w:rPr>
      </w:pPr>
    </w:p>
    <w:p w:rsidR="0038283E" w:rsidRDefault="003D2E40" w:rsidP="00865AD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</w:t>
      </w:r>
      <w:r w:rsidR="0038283E">
        <w:rPr>
          <w:rFonts w:asciiTheme="minorEastAsia" w:hAnsiTheme="minorEastAsia" w:hint="eastAsia"/>
        </w:rPr>
        <w:t>筆者要在此處強調，文中言及「不需疑其為聖人熟後事」，</w:t>
      </w:r>
      <w:r w:rsidR="00744FB9">
        <w:rPr>
          <w:rFonts w:asciiTheme="minorEastAsia" w:hAnsiTheme="minorEastAsia" w:hint="eastAsia"/>
        </w:rPr>
        <w:t>就說明了，「敬」「勿忘勿助」「隨處體認天理」這一套工夫，就是聖人實際的作為，聖人自是開悟之人，已識得仁體，自是誠敬守之，而肆應萬事而已，故而強調勿忘勿助，這就像慧能的境界工夫、無相工夫、無念工夫意旨：「本來無一物，何處惹塵埃」的義理形式，既已領悟，毋須助忘，故而筆者強調，甘泉「隨處」之說，正有境界工夫的意味，而境界工夫，正是明道宗風，亦是白沙境界。其言：</w:t>
      </w:r>
    </w:p>
    <w:p w:rsidR="00744FB9" w:rsidRDefault="00744FB9" w:rsidP="00865AD8">
      <w:pPr>
        <w:rPr>
          <w:rFonts w:asciiTheme="minorEastAsia" w:hAnsiTheme="minorEastAsia"/>
        </w:rPr>
      </w:pPr>
    </w:p>
    <w:p w:rsidR="009C35EB" w:rsidRDefault="00744FB9" w:rsidP="009C35EB">
      <w:pPr>
        <w:ind w:leftChars="300" w:left="720"/>
        <w:rPr>
          <w:rFonts w:ascii="標楷體" w:eastAsia="標楷體" w:hAnsi="標楷體"/>
        </w:rPr>
      </w:pPr>
      <w:r w:rsidRPr="009C35EB">
        <w:rPr>
          <w:rFonts w:ascii="標楷體" w:eastAsia="標楷體" w:hAnsi="標楷體" w:hint="eastAsia"/>
        </w:rPr>
        <w:t>鳶飛魚躍，與參前倚衡，同一活潑潑地，皆察見天理工夫。識得此意而涵養之，則日進日新，何擔閣之云？不可分為二也。所舉明道『必有事焉，勿正，勿忘，勿助長，元無絲毫人力』之說最好。勿正，勿忘，勿助，中間未嘗致絲毫人力，乃必有事焉之工夫的當處。朱傳節度二字最好，當此時節，所謂參前倚衡，所謂鳶飛魚躍之體自見矣。陽明謂『勿忘、勿助之說為懸虛』，而不知此乃所有事之的也，舍此則所有事無的當工夫，而所事者非所事矣</w:t>
      </w:r>
      <w:r w:rsidR="009C35EB">
        <w:rPr>
          <w:rFonts w:ascii="標楷體" w:eastAsia="標楷體" w:hAnsi="標楷體" w:hint="eastAsia"/>
        </w:rPr>
        <w:t>。</w:t>
      </w:r>
      <w:r w:rsidR="009C35EB">
        <w:rPr>
          <w:rStyle w:val="a6"/>
          <w:rFonts w:asciiTheme="minorEastAsia" w:hAnsiTheme="minorEastAsia"/>
        </w:rPr>
        <w:footnoteReference w:id="13"/>
      </w:r>
    </w:p>
    <w:p w:rsidR="007D0E79" w:rsidRDefault="007D0E79" w:rsidP="009C35EB">
      <w:pPr>
        <w:ind w:leftChars="300" w:left="720"/>
        <w:rPr>
          <w:rFonts w:ascii="標楷體" w:eastAsia="標楷體" w:hAnsi="標楷體"/>
        </w:rPr>
      </w:pPr>
    </w:p>
    <w:p w:rsidR="009C35EB" w:rsidRPr="007D0E79" w:rsidRDefault="003D2E40" w:rsidP="007D0E7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</w:t>
      </w:r>
      <w:r w:rsidR="007D0E79">
        <w:rPr>
          <w:rFonts w:asciiTheme="minorEastAsia" w:hAnsiTheme="minorEastAsia" w:hint="eastAsia"/>
        </w:rPr>
        <w:t>「必有事焉」即在事上體現天理，</w:t>
      </w:r>
      <w:r w:rsidR="00212CCC">
        <w:rPr>
          <w:rFonts w:asciiTheme="minorEastAsia" w:hAnsiTheme="minorEastAsia" w:hint="eastAsia"/>
        </w:rPr>
        <w:t>即是良心已發動，以敬守之，勿正、勿忘、勿助，「未嘗致絲毫人力」，但是，若是習心不除，豈能未嘗致力？必是習心已除，良心發用，且不偏不倚，才能「元無絲毫人力」。故而此說是本體工夫，更是境界工夫的思路形式。</w:t>
      </w:r>
      <w:r w:rsidR="00111AFF">
        <w:rPr>
          <w:rFonts w:asciiTheme="minorEastAsia" w:hAnsiTheme="minorEastAsia" w:hint="eastAsia"/>
        </w:rPr>
        <w:t>故而文中說「察見天理工夫」，亦即天理已在心</w:t>
      </w:r>
      <w:r w:rsidR="00111AFF">
        <w:rPr>
          <w:rFonts w:asciiTheme="minorEastAsia" w:hAnsiTheme="minorEastAsia" w:hint="eastAsia"/>
        </w:rPr>
        <w:lastRenderedPageBreak/>
        <w:t>中呈顯，又說「識得此意而涵養之」，即是悟後工夫，以誠敬守之之意。</w:t>
      </w:r>
      <w:r w:rsidR="00E9168D">
        <w:rPr>
          <w:rFonts w:asciiTheme="minorEastAsia" w:hAnsiTheme="minorEastAsia" w:hint="eastAsia"/>
        </w:rPr>
        <w:t>又見：</w:t>
      </w:r>
    </w:p>
    <w:p w:rsidR="009C35EB" w:rsidRPr="00212CCC" w:rsidRDefault="009C35EB" w:rsidP="009C35EB">
      <w:pPr>
        <w:ind w:leftChars="300" w:left="720"/>
        <w:rPr>
          <w:rFonts w:ascii="標楷體" w:eastAsia="標楷體" w:hAnsi="標楷體"/>
        </w:rPr>
      </w:pPr>
    </w:p>
    <w:p w:rsidR="00744FB9" w:rsidRPr="0038283E" w:rsidRDefault="009C35EB" w:rsidP="009C35EB">
      <w:pPr>
        <w:ind w:leftChars="300" w:left="720"/>
        <w:rPr>
          <w:rFonts w:asciiTheme="minorEastAsia" w:hAnsiTheme="minorEastAsia"/>
        </w:rPr>
      </w:pPr>
      <w:r w:rsidRPr="009C35EB">
        <w:rPr>
          <w:rFonts w:ascii="標楷體" w:eastAsia="標楷體" w:hAnsi="標楷體" w:hint="eastAsia"/>
        </w:rPr>
        <w:t>惟求必有事焉，而以勿助、勿忘為虛。陽明近有此說，見於與聶文蔚侍御之書。而不知勿正、勿忘、勿助，乃所有事之工夫也。求方圓者必於規矩，舍規矩則無方圓。舍勿忘、勿助，則無所有事，而天理滅矣。下文『無若宋人然』，非徒無益，而又害之可見也。不意此公聰明，未知此要妙，未見此光景，不能無遺憾，可惜！可惜！勿忘、勿助之間，與物同體之理見矣。至虛至實，須自見得。</w:t>
      </w:r>
      <w:r>
        <w:rPr>
          <w:rStyle w:val="a6"/>
          <w:rFonts w:ascii="標楷體" w:eastAsia="標楷體" w:hAnsi="標楷體"/>
        </w:rPr>
        <w:footnoteReference w:id="14"/>
      </w:r>
    </w:p>
    <w:p w:rsidR="00865AD8" w:rsidRDefault="00865AD8" w:rsidP="00865AD8"/>
    <w:p w:rsidR="00E9168D" w:rsidRDefault="003D2E40" w:rsidP="00865AD8">
      <w:r>
        <w:rPr>
          <w:rFonts w:hint="eastAsia"/>
        </w:rPr>
        <w:t xml:space="preserve">    </w:t>
      </w:r>
      <w:r w:rsidR="00E9168D">
        <w:rPr>
          <w:rFonts w:hint="eastAsia"/>
        </w:rPr>
        <w:t>此文，與「隨處體認天理」意旨一致。良心已顯，天理在前，即事而對，勿以私心私慾而擾亂之，勿忘勿助，標準就在天理</w:t>
      </w:r>
      <w:r w:rsidR="00244A8D">
        <w:rPr>
          <w:rFonts w:hint="eastAsia"/>
        </w:rPr>
        <w:t>。所以說</w:t>
      </w:r>
      <w:r w:rsidR="00E9168D">
        <w:rPr>
          <w:rFonts w:hint="eastAsia"/>
        </w:rPr>
        <w:t>，</w:t>
      </w:r>
      <w:r w:rsidR="00244A8D">
        <w:rPr>
          <w:rFonts w:hint="eastAsia"/>
        </w:rPr>
        <w:t>「勿忘勿助之間，與物之同體之理見矣。」，「與物同體」就是整體存在界與主體之心同一天理，心性一也，</w:t>
      </w:r>
      <w:r w:rsidR="00F97E60">
        <w:rPr>
          <w:rFonts w:hint="eastAsia"/>
        </w:rPr>
        <w:t>拳守</w:t>
      </w:r>
      <w:r w:rsidR="00244A8D">
        <w:rPr>
          <w:rFonts w:hint="eastAsia"/>
        </w:rPr>
        <w:t>之，不假雜質。</w:t>
      </w:r>
    </w:p>
    <w:p w:rsidR="00BD3B50" w:rsidRDefault="00BD3B50" w:rsidP="00865AD8"/>
    <w:p w:rsidR="00BD3B50" w:rsidRDefault="003D2E40" w:rsidP="00865AD8">
      <w:r>
        <w:rPr>
          <w:rFonts w:hint="eastAsia"/>
        </w:rPr>
        <w:t xml:space="preserve">    </w:t>
      </w:r>
      <w:r w:rsidR="00BD3B50">
        <w:rPr>
          <w:rFonts w:hint="eastAsia"/>
        </w:rPr>
        <w:t>以上，甘泉之「隨處體認天理」說之意旨大要。依此，說甘泉、陽明：「良知之學，各立門戶。」筆者完全同意。陽明之學，寧非此呼？然而，甘泉</w:t>
      </w:r>
      <w:r w:rsidR="00C747B8">
        <w:rPr>
          <w:rFonts w:hint="eastAsia"/>
        </w:rPr>
        <w:t>、</w:t>
      </w:r>
      <w:r w:rsidR="00BD3B50">
        <w:rPr>
          <w:rFonts w:hint="eastAsia"/>
        </w:rPr>
        <w:t>陽明之間卻多有辯論，且往復不已，其所爭者何？筆者以為，語意問題而已。其一，格物之</w:t>
      </w:r>
      <w:r w:rsidR="003A62EB">
        <w:rPr>
          <w:rFonts w:hint="eastAsia"/>
        </w:rPr>
        <w:t>義</w:t>
      </w:r>
      <w:r w:rsidR="00BD3B50">
        <w:rPr>
          <w:rFonts w:hint="eastAsia"/>
        </w:rPr>
        <w:t>。其二，內外之爭。以下論之。</w:t>
      </w:r>
    </w:p>
    <w:p w:rsidR="00244A8D" w:rsidRPr="00BD3B50" w:rsidRDefault="00244A8D" w:rsidP="00865AD8"/>
    <w:p w:rsidR="00BD3B50" w:rsidRDefault="00BD3B50" w:rsidP="00DA505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甘泉</w:t>
      </w:r>
      <w:r w:rsidR="00F774B1">
        <w:rPr>
          <w:rFonts w:hint="eastAsia"/>
        </w:rPr>
        <w:t>格物說</w:t>
      </w:r>
      <w:r>
        <w:rPr>
          <w:rFonts w:hint="eastAsia"/>
        </w:rPr>
        <w:t>對陽明格物說</w:t>
      </w:r>
      <w:r w:rsidR="003A62EB">
        <w:rPr>
          <w:rFonts w:hint="eastAsia"/>
        </w:rPr>
        <w:t>的</w:t>
      </w:r>
      <w:r w:rsidR="00032E0E">
        <w:rPr>
          <w:rFonts w:hint="eastAsia"/>
        </w:rPr>
        <w:t>內外之爭</w:t>
      </w:r>
      <w:r>
        <w:rPr>
          <w:rFonts w:hint="eastAsia"/>
        </w:rPr>
        <w:t>的</w:t>
      </w:r>
      <w:r w:rsidR="00032E0E">
        <w:rPr>
          <w:rFonts w:hint="eastAsia"/>
        </w:rPr>
        <w:t>駁義</w:t>
      </w:r>
      <w:r>
        <w:rPr>
          <w:rFonts w:hint="eastAsia"/>
        </w:rPr>
        <w:t>：</w:t>
      </w:r>
    </w:p>
    <w:p w:rsidR="00BD3B50" w:rsidRPr="003A62EB" w:rsidRDefault="00BD3B50" w:rsidP="00BD3B50"/>
    <w:p w:rsidR="00225886" w:rsidRDefault="003D2E40" w:rsidP="00BD3B50">
      <w:r>
        <w:rPr>
          <w:rFonts w:hint="eastAsia"/>
        </w:rPr>
        <w:t xml:space="preserve">    </w:t>
      </w:r>
      <w:r w:rsidR="00F774B1">
        <w:rPr>
          <w:rFonts w:hint="eastAsia"/>
        </w:rPr>
        <w:t>湛甘泉</w:t>
      </w:r>
      <w:r w:rsidR="00133D50">
        <w:rPr>
          <w:rFonts w:hint="eastAsia"/>
        </w:rPr>
        <w:t>講「隨處體驗天理」，</w:t>
      </w:r>
      <w:r w:rsidR="003A62EB">
        <w:rPr>
          <w:rFonts w:hint="eastAsia"/>
        </w:rPr>
        <w:t>此是境界工夫，因此其自身之「</w:t>
      </w:r>
      <w:r w:rsidR="00133D50">
        <w:rPr>
          <w:rFonts w:hint="eastAsia"/>
        </w:rPr>
        <w:t>格物說</w:t>
      </w:r>
      <w:r w:rsidR="003A62EB">
        <w:rPr>
          <w:rFonts w:hint="eastAsia"/>
        </w:rPr>
        <w:t>」便</w:t>
      </w:r>
      <w:r w:rsidR="00133D50">
        <w:rPr>
          <w:rFonts w:hint="eastAsia"/>
        </w:rPr>
        <w:t>是以此</w:t>
      </w:r>
      <w:r w:rsidR="003A62EB">
        <w:rPr>
          <w:rFonts w:hint="eastAsia"/>
        </w:rPr>
        <w:t>為</w:t>
      </w:r>
      <w:r w:rsidR="00133D50">
        <w:rPr>
          <w:rFonts w:hint="eastAsia"/>
        </w:rPr>
        <w:t>架構的發言，</w:t>
      </w:r>
      <w:r w:rsidR="003A62EB">
        <w:rPr>
          <w:rFonts w:hint="eastAsia"/>
        </w:rPr>
        <w:t>亦以此而</w:t>
      </w:r>
      <w:r w:rsidR="00133D50">
        <w:rPr>
          <w:rFonts w:hint="eastAsia"/>
        </w:rPr>
        <w:t>有對陽明格物說的批評。</w:t>
      </w:r>
      <w:r w:rsidR="00225886">
        <w:rPr>
          <w:rFonts w:hint="eastAsia"/>
        </w:rPr>
        <w:t>其言：</w:t>
      </w:r>
    </w:p>
    <w:p w:rsidR="00225886" w:rsidRDefault="00225886" w:rsidP="00225886"/>
    <w:p w:rsidR="00DA505A" w:rsidRDefault="00225886" w:rsidP="00225886">
      <w:pPr>
        <w:ind w:leftChars="300" w:left="720"/>
        <w:rPr>
          <w:rFonts w:ascii="標楷體" w:eastAsia="標楷體" w:hAnsi="標楷體"/>
        </w:rPr>
      </w:pPr>
      <w:r w:rsidRPr="00225886">
        <w:rPr>
          <w:rFonts w:ascii="標楷體" w:eastAsia="標楷體" w:hAnsi="標楷體" w:hint="eastAsia"/>
        </w:rPr>
        <w:t>格物之義，以物為心意之所。兄意只恐人舍心求之於外，故有是說。不肖則以為，人心與天地萬物為體，心體物而不遺，認得心體廣大，則物不能外矣，故格物非在外也，格之致之，心又非在外也。於物若以為心意之著見，恐不免有外物之疾。《與陽明》</w:t>
      </w:r>
      <w:r w:rsidR="001454B4">
        <w:rPr>
          <w:rStyle w:val="a6"/>
        </w:rPr>
        <w:footnoteReference w:id="15"/>
      </w:r>
    </w:p>
    <w:p w:rsidR="00920519" w:rsidRPr="00225886" w:rsidRDefault="00920519" w:rsidP="00225886">
      <w:pPr>
        <w:ind w:leftChars="300" w:left="720"/>
        <w:rPr>
          <w:rFonts w:ascii="標楷體" w:eastAsia="標楷體" w:hAnsi="標楷體"/>
        </w:rPr>
      </w:pPr>
    </w:p>
    <w:p w:rsidR="00EA0B12" w:rsidRDefault="003A62EB" w:rsidP="00BD3B50">
      <w:r>
        <w:rPr>
          <w:rFonts w:hint="eastAsia"/>
        </w:rPr>
        <w:t xml:space="preserve">    </w:t>
      </w:r>
      <w:r w:rsidR="00920519">
        <w:rPr>
          <w:rFonts w:hint="eastAsia"/>
        </w:rPr>
        <w:t>在甘泉的《心性圖說》中，</w:t>
      </w:r>
      <w:r w:rsidR="00EA0B12">
        <w:rPr>
          <w:rFonts w:hint="eastAsia"/>
        </w:rPr>
        <w:t>體貼此心即天理之性，心無所不貫、無所不包矣。以筆者之解讀，這是甘泉已經把心提起</w:t>
      </w:r>
      <w:r>
        <w:rPr>
          <w:rFonts w:hint="eastAsia"/>
        </w:rPr>
        <w:t>，且</w:t>
      </w:r>
      <w:r w:rsidR="00EA0B12">
        <w:rPr>
          <w:rFonts w:hint="eastAsia"/>
        </w:rPr>
        <w:t>做了清楚</w:t>
      </w:r>
      <w:r>
        <w:rPr>
          <w:rFonts w:hint="eastAsia"/>
        </w:rPr>
        <w:t>的</w:t>
      </w:r>
      <w:r w:rsidR="00EA0B12">
        <w:rPr>
          <w:rFonts w:hint="eastAsia"/>
        </w:rPr>
        <w:t>道德價值自覺之後的境界，就此而言，物本不在外，早已在心的道德意志貫徹中，成為心的關切所對，也是實踐的範域，一旦做了工夫，心即性</w:t>
      </w:r>
      <w:r>
        <w:rPr>
          <w:rFonts w:hint="eastAsia"/>
        </w:rPr>
        <w:t>、</w:t>
      </w:r>
      <w:r w:rsidR="00EA0B12">
        <w:rPr>
          <w:rFonts w:hint="eastAsia"/>
        </w:rPr>
        <w:t>即天理，隨處體認天理，即心隨處隨事隨物以天理施設其上而作為，則物本不外。故，陽明所擔心的外物之慮，</w:t>
      </w:r>
      <w:r>
        <w:rPr>
          <w:rFonts w:hint="eastAsia"/>
        </w:rPr>
        <w:t>根本沒必要，因為甘泉所論，已</w:t>
      </w:r>
      <w:r w:rsidR="00EA0B12">
        <w:rPr>
          <w:rFonts w:hint="eastAsia"/>
        </w:rPr>
        <w:t>必物為心之所意者。</w:t>
      </w:r>
      <w:r>
        <w:rPr>
          <w:rFonts w:hint="eastAsia"/>
        </w:rPr>
        <w:t>至於</w:t>
      </w:r>
      <w:r w:rsidR="00163F87">
        <w:rPr>
          <w:rFonts w:hint="eastAsia"/>
        </w:rPr>
        <w:t>甘泉</w:t>
      </w:r>
      <w:r>
        <w:rPr>
          <w:rFonts w:hint="eastAsia"/>
        </w:rPr>
        <w:t>對陽明之批評</w:t>
      </w:r>
      <w:r w:rsidR="00163F87">
        <w:rPr>
          <w:rFonts w:hint="eastAsia"/>
        </w:rPr>
        <w:t>，</w:t>
      </w:r>
      <w:r>
        <w:rPr>
          <w:rFonts w:hint="eastAsia"/>
        </w:rPr>
        <w:t>以</w:t>
      </w:r>
      <w:r w:rsidR="00163F87">
        <w:rPr>
          <w:rFonts w:hint="eastAsia"/>
        </w:rPr>
        <w:t>陽明必收物於心意之內的解讀，反而有外物之疑，外物，即是棄物而</w:t>
      </w:r>
      <w:r w:rsidR="00163F87">
        <w:rPr>
          <w:rFonts w:hint="eastAsia"/>
        </w:rPr>
        <w:lastRenderedPageBreak/>
        <w:t>不關心之，不以天下為志矣。</w:t>
      </w:r>
    </w:p>
    <w:p w:rsidR="00163F87" w:rsidRPr="003A62EB" w:rsidRDefault="00163F87" w:rsidP="00BD3B50"/>
    <w:p w:rsidR="00163F87" w:rsidRDefault="003A62EB" w:rsidP="00BD3B50">
      <w:r>
        <w:rPr>
          <w:rFonts w:hint="eastAsia"/>
        </w:rPr>
        <w:t xml:space="preserve">    </w:t>
      </w:r>
      <w:r w:rsidR="00163F87">
        <w:rPr>
          <w:rFonts w:hint="eastAsia"/>
        </w:rPr>
        <w:t>此說，筆者以為，兩家皆語意之爭爾。</w:t>
      </w:r>
      <w:r w:rsidR="00662258">
        <w:rPr>
          <w:rFonts w:hint="eastAsia"/>
        </w:rPr>
        <w:t>依陽明，物為心意之所在，意在父即父為物，意在君即君為物，君父天下兄弟友朋皆是意之物，故皆是在心，關鍵是，要有此心之道德意志才有這許多五倫道義之實踐，</w:t>
      </w:r>
      <w:r w:rsidR="00464E3C">
        <w:rPr>
          <w:rFonts w:hint="eastAsia"/>
        </w:rPr>
        <w:t>所以陽關切的是主體意志的提起，是要做工夫的要求。至於是內是外皆語意約定問題而已。甘泉所關心的，天地萬物就是儒者的事業場域，氣化宇宙天理在中，天理即性，性即心，此心對天地萬物既貫通之亦包含之，不必刻意改變心物定義，在道德意志提起的實踐中，此心即與家國天下無外矣。故而筆者主張，兩家之爭，根本立場一致，概念詮釋時的問題不盡相同，</w:t>
      </w:r>
      <w:r>
        <w:rPr>
          <w:rFonts w:hint="eastAsia"/>
        </w:rPr>
        <w:t>故而</w:t>
      </w:r>
      <w:r w:rsidR="00464E3C">
        <w:rPr>
          <w:rFonts w:hint="eastAsia"/>
        </w:rPr>
        <w:t>語意有別</w:t>
      </w:r>
      <w:r>
        <w:rPr>
          <w:rFonts w:hint="eastAsia"/>
        </w:rPr>
        <w:t>而已</w:t>
      </w:r>
      <w:r w:rsidR="00464E3C">
        <w:rPr>
          <w:rFonts w:hint="eastAsia"/>
        </w:rPr>
        <w:t>，</w:t>
      </w:r>
      <w:r>
        <w:rPr>
          <w:rFonts w:hint="eastAsia"/>
        </w:rPr>
        <w:t>因此根本</w:t>
      </w:r>
      <w:r w:rsidR="00464E3C">
        <w:rPr>
          <w:rFonts w:hint="eastAsia"/>
        </w:rPr>
        <w:t>毋須爭辯。</w:t>
      </w:r>
    </w:p>
    <w:p w:rsidR="00464E3C" w:rsidRDefault="00464E3C" w:rsidP="00BD3B50"/>
    <w:p w:rsidR="00464E3C" w:rsidRDefault="003A62EB" w:rsidP="00BD3B50">
      <w:r>
        <w:rPr>
          <w:rFonts w:hint="eastAsia"/>
        </w:rPr>
        <w:t xml:space="preserve">    </w:t>
      </w:r>
      <w:r w:rsidR="00464E3C">
        <w:rPr>
          <w:rFonts w:hint="eastAsia"/>
        </w:rPr>
        <w:t>又</w:t>
      </w:r>
      <w:r>
        <w:rPr>
          <w:rFonts w:hint="eastAsia"/>
        </w:rPr>
        <w:t>見</w:t>
      </w:r>
      <w:r w:rsidR="00464E3C">
        <w:rPr>
          <w:rFonts w:hint="eastAsia"/>
        </w:rPr>
        <w:t>甘泉</w:t>
      </w:r>
      <w:r>
        <w:rPr>
          <w:rFonts w:hint="eastAsia"/>
        </w:rPr>
        <w:t>之</w:t>
      </w:r>
      <w:r w:rsidR="00464E3C">
        <w:rPr>
          <w:rFonts w:hint="eastAsia"/>
        </w:rPr>
        <w:t>言：</w:t>
      </w:r>
    </w:p>
    <w:p w:rsidR="00464E3C" w:rsidRDefault="00464E3C" w:rsidP="00BD3B50"/>
    <w:p w:rsidR="003A071A" w:rsidRDefault="00E54054" w:rsidP="003A071A">
      <w:pPr>
        <w:ind w:leftChars="300" w:left="720"/>
      </w:pPr>
      <w:r w:rsidRPr="00E54054">
        <w:rPr>
          <w:rFonts w:ascii="標楷體" w:eastAsia="標楷體" w:hAnsi="標楷體" w:hint="eastAsia"/>
        </w:rPr>
        <w:t>格者，至也，即格於文祖、有苗之格；物者，天理也，即言有物，舜明於庶物之物，即道也。格即造詣之義，格物者即造道也。知行並進，學問思辨行，所以造道也，故讀書、親師友、酬應，隨時隨處，皆求體認天理而涵養之，無非造道之功。誠、正、修工夫，皆於格物上用，家國天下皆即此擴充，無兩段工夫，此即所謂止至善。嘗謂止至善，則明德、親民皆了者，此也。如此方可講知至。孟子深造以道，即格物之謂也；自得之，即知至之謂也；居安、資深、逢源，即修、齊、治、平之謂也。《答陽明</w:t>
      </w:r>
      <w:r w:rsidRPr="00E54054">
        <w:rPr>
          <w:rFonts w:hint="eastAsia"/>
        </w:rPr>
        <w:t>》</w:t>
      </w:r>
      <w:r w:rsidR="003A071A">
        <w:rPr>
          <w:rFonts w:hint="eastAsia"/>
        </w:rPr>
        <w:t>。</w:t>
      </w:r>
      <w:r>
        <w:rPr>
          <w:rStyle w:val="a6"/>
        </w:rPr>
        <w:footnoteReference w:id="16"/>
      </w:r>
    </w:p>
    <w:p w:rsidR="003A071A" w:rsidRDefault="003A071A" w:rsidP="003A071A">
      <w:pPr>
        <w:ind w:leftChars="300" w:left="720"/>
      </w:pPr>
    </w:p>
    <w:p w:rsidR="00002F86" w:rsidRDefault="003A62EB" w:rsidP="00002F86">
      <w:r>
        <w:rPr>
          <w:rFonts w:hint="eastAsia"/>
        </w:rPr>
        <w:t xml:space="preserve">    </w:t>
      </w:r>
      <w:r w:rsidR="00E75213">
        <w:rPr>
          <w:rFonts w:hint="eastAsia"/>
        </w:rPr>
        <w:t>格物之說</w:t>
      </w:r>
      <w:r w:rsidR="00002F86">
        <w:rPr>
          <w:rFonts w:hint="eastAsia"/>
        </w:rPr>
        <w:t>，人各一套，皆服務於自己的</w:t>
      </w:r>
      <w:r w:rsidR="00132FDC">
        <w:rPr>
          <w:rFonts w:hint="eastAsia"/>
        </w:rPr>
        <w:t>《</w:t>
      </w:r>
      <w:r w:rsidR="00002F86">
        <w:rPr>
          <w:rFonts w:hint="eastAsia"/>
        </w:rPr>
        <w:t>大學</w:t>
      </w:r>
      <w:r w:rsidR="00132FDC">
        <w:rPr>
          <w:rFonts w:hint="eastAsia"/>
        </w:rPr>
        <w:t>》</w:t>
      </w:r>
      <w:r w:rsidR="00002F86">
        <w:rPr>
          <w:rFonts w:hint="eastAsia"/>
        </w:rPr>
        <w:t>解釋模型而已</w:t>
      </w:r>
      <w:r w:rsidR="00132FDC">
        <w:rPr>
          <w:rFonts w:hint="eastAsia"/>
        </w:rPr>
        <w:t>。甘泉以格為至</w:t>
      </w:r>
      <w:r w:rsidR="00002F86">
        <w:rPr>
          <w:rFonts w:hint="eastAsia"/>
        </w:rPr>
        <w:t>，</w:t>
      </w:r>
      <w:r w:rsidR="00132FDC">
        <w:rPr>
          <w:rFonts w:hint="eastAsia"/>
        </w:rPr>
        <w:t>至於而造道之旨也。說格物即造道</w:t>
      </w:r>
      <w:r w:rsidR="00002F86">
        <w:rPr>
          <w:rFonts w:hint="eastAsia"/>
        </w:rPr>
        <w:t>，</w:t>
      </w:r>
      <w:r w:rsidR="00132FDC">
        <w:rPr>
          <w:rFonts w:hint="eastAsia"/>
        </w:rPr>
        <w:t>即知行並進，這也是《大學》詮釋模型。《大學》有格致誠正修齊治平，其中有知有行，甘泉</w:t>
      </w:r>
      <w:r w:rsidR="0018409F">
        <w:rPr>
          <w:rFonts w:hint="eastAsia"/>
        </w:rPr>
        <w:t>以知是造道，行也是造道，個人一面的誠正修是工夫，是格物的工夫，家國天下也是同一工夫而發，所以論格物即是至於家國天下矣。可見，甘泉亦是擴充格物意旨，提升為造道之詞，那也就是「隨處體認天理」的意思了。如其下文言：</w:t>
      </w:r>
    </w:p>
    <w:p w:rsidR="00002F86" w:rsidRDefault="00002F86" w:rsidP="003A071A">
      <w:pPr>
        <w:ind w:leftChars="300" w:left="720"/>
      </w:pPr>
    </w:p>
    <w:p w:rsidR="003A071A" w:rsidRDefault="003A071A" w:rsidP="003A071A">
      <w:pPr>
        <w:ind w:leftChars="300" w:left="720"/>
      </w:pPr>
      <w:r w:rsidRPr="0018409F">
        <w:rPr>
          <w:rFonts w:ascii="標楷體" w:eastAsia="標楷體" w:hAnsi="標楷體" w:hint="eastAsia"/>
        </w:rPr>
        <w:t>慎獨格物，其實一也。格物者，至其理也。學問思辨行，所以至之也，是謂以身至之也。所謂窮理者，如是也。近而心身，遠而天下，暫而一日，久而一世，只是格物一事而已。格物云者，體認天理而存之也。《答陳宗亨</w:t>
      </w:r>
      <w:r w:rsidRPr="003A071A">
        <w:rPr>
          <w:rFonts w:hint="eastAsia"/>
        </w:rPr>
        <w:t>》</w:t>
      </w:r>
      <w:r>
        <w:rPr>
          <w:rStyle w:val="a6"/>
        </w:rPr>
        <w:footnoteReference w:id="17"/>
      </w:r>
    </w:p>
    <w:p w:rsidR="003A071A" w:rsidRDefault="003A071A" w:rsidP="003A071A">
      <w:pPr>
        <w:ind w:leftChars="300" w:left="720"/>
      </w:pPr>
    </w:p>
    <w:p w:rsidR="000969A7" w:rsidRDefault="000969A7" w:rsidP="000969A7">
      <w:r>
        <w:rPr>
          <w:rFonts w:hint="eastAsia"/>
        </w:rPr>
        <w:t xml:space="preserve">　　甘泉就是把「隨處體認天理」的意旨以格物概念當之，</w:t>
      </w:r>
      <w:r w:rsidR="003A4460">
        <w:rPr>
          <w:rFonts w:hint="eastAsia"/>
        </w:rPr>
        <w:t>所以</w:t>
      </w:r>
      <w:r w:rsidR="00F93BD5">
        <w:rPr>
          <w:rFonts w:hint="eastAsia"/>
        </w:rPr>
        <w:t>《</w:t>
      </w:r>
      <w:r w:rsidR="003A4460">
        <w:rPr>
          <w:rFonts w:hint="eastAsia"/>
        </w:rPr>
        <w:t>大學</w:t>
      </w:r>
      <w:r w:rsidR="00F93BD5">
        <w:rPr>
          <w:rFonts w:hint="eastAsia"/>
        </w:rPr>
        <w:t>》</w:t>
      </w:r>
      <w:r w:rsidR="003A4460">
        <w:rPr>
          <w:rFonts w:hint="eastAsia"/>
        </w:rPr>
        <w:t>致知</w:t>
      </w:r>
      <w:r w:rsidR="003A4460">
        <w:rPr>
          <w:rFonts w:hint="eastAsia"/>
        </w:rPr>
        <w:lastRenderedPageBreak/>
        <w:t>之</w:t>
      </w:r>
      <w:r w:rsidR="003A62EB">
        <w:rPr>
          <w:rFonts w:hint="eastAsia"/>
        </w:rPr>
        <w:t>「</w:t>
      </w:r>
      <w:r w:rsidR="003A4460">
        <w:rPr>
          <w:rFonts w:hint="eastAsia"/>
        </w:rPr>
        <w:t>學問思辨行</w:t>
      </w:r>
      <w:r w:rsidR="003A62EB">
        <w:rPr>
          <w:rFonts w:hint="eastAsia"/>
        </w:rPr>
        <w:t>」便</w:t>
      </w:r>
      <w:r w:rsidR="003A4460">
        <w:rPr>
          <w:rFonts w:hint="eastAsia"/>
        </w:rPr>
        <w:t>在此概念之中，</w:t>
      </w:r>
      <w:r w:rsidR="003A62EB">
        <w:rPr>
          <w:rFonts w:hint="eastAsia"/>
        </w:rPr>
        <w:t>「</w:t>
      </w:r>
      <w:r w:rsidR="003A4460">
        <w:rPr>
          <w:rFonts w:hint="eastAsia"/>
        </w:rPr>
        <w:t>心身家國天下</w:t>
      </w:r>
      <w:r w:rsidR="003A62EB">
        <w:rPr>
          <w:rFonts w:hint="eastAsia"/>
        </w:rPr>
        <w:t>」</w:t>
      </w:r>
      <w:r w:rsidR="003A4460">
        <w:rPr>
          <w:rFonts w:hint="eastAsia"/>
        </w:rPr>
        <w:t>的事物也在此概念中，甘泉既是主張心包天地萬物，故而</w:t>
      </w:r>
      <w:r w:rsidR="003A62EB">
        <w:rPr>
          <w:rFonts w:hint="eastAsia"/>
        </w:rPr>
        <w:t>「</w:t>
      </w:r>
      <w:r w:rsidR="003A4460">
        <w:rPr>
          <w:rFonts w:hint="eastAsia"/>
        </w:rPr>
        <w:t>心身意知家國天下</w:t>
      </w:r>
      <w:r w:rsidR="003A62EB">
        <w:rPr>
          <w:rFonts w:hint="eastAsia"/>
        </w:rPr>
        <w:t>」就</w:t>
      </w:r>
      <w:r w:rsidR="003A4460">
        <w:rPr>
          <w:rFonts w:hint="eastAsia"/>
        </w:rPr>
        <w:t>都在格物造道的一事中</w:t>
      </w:r>
      <w:r w:rsidR="003A62EB">
        <w:rPr>
          <w:rFonts w:hint="eastAsia"/>
        </w:rPr>
        <w:t>了</w:t>
      </w:r>
      <w:r w:rsidR="003A4460">
        <w:rPr>
          <w:rFonts w:hint="eastAsia"/>
        </w:rPr>
        <w:t>。《大學》絜矩之道，</w:t>
      </w:r>
      <w:r w:rsidR="00BB1FBF">
        <w:rPr>
          <w:rFonts w:hint="eastAsia"/>
        </w:rPr>
        <w:t>整個就是造道事業，所以就是格物之行，故而格物概念成為甘泉「隨處體認天理」的簡易詞矣。</w:t>
      </w:r>
      <w:r w:rsidR="00F93BD5">
        <w:rPr>
          <w:rFonts w:hint="eastAsia"/>
        </w:rPr>
        <w:t>筆者以為，甘泉本不必為此之說，實在是要與陽明辯論而提升格物意旨的。因此格物一詞，就被各家依自己理論系統</w:t>
      </w:r>
      <w:r w:rsidR="003A62EB">
        <w:rPr>
          <w:rFonts w:hint="eastAsia"/>
        </w:rPr>
        <w:t>而</w:t>
      </w:r>
      <w:r w:rsidR="00F93BD5">
        <w:rPr>
          <w:rFonts w:hint="eastAsia"/>
        </w:rPr>
        <w:t>涉入詮釋的意見，本身何意？便沒有標準。雖然如此，儒學意旨也離不</w:t>
      </w:r>
      <w:r w:rsidR="00BF420D">
        <w:rPr>
          <w:rFonts w:hint="eastAsia"/>
        </w:rPr>
        <w:t>開端</w:t>
      </w:r>
      <w:r w:rsidR="00F93BD5">
        <w:rPr>
          <w:rFonts w:hint="eastAsia"/>
        </w:rPr>
        <w:t>正</w:t>
      </w:r>
      <w:r w:rsidR="00BF420D">
        <w:rPr>
          <w:rFonts w:hint="eastAsia"/>
        </w:rPr>
        <w:t>自己，</w:t>
      </w:r>
      <w:r w:rsidR="00F93BD5">
        <w:rPr>
          <w:rFonts w:hint="eastAsia"/>
        </w:rPr>
        <w:t>從而治理家國天下，</w:t>
      </w:r>
      <w:r w:rsidR="006236AE">
        <w:rPr>
          <w:rFonts w:hint="eastAsia"/>
        </w:rPr>
        <w:t>至於不同的格物意旨，則是各家系統的代言名詞而已。甘泉宗旨就是「隨處體認天理」，於是格物也就被他詮釋成「隨處體認天理」了。就如陽明意旨就是「知行合一」以及「致良知於事事物物」之中，</w:t>
      </w:r>
      <w:r w:rsidR="00AC32A8">
        <w:rPr>
          <w:rFonts w:hint="eastAsia"/>
        </w:rPr>
        <w:t>於是陽明言格物，就成了</w:t>
      </w:r>
      <w:r w:rsidR="003A62EB">
        <w:rPr>
          <w:rFonts w:hint="eastAsia"/>
        </w:rPr>
        <w:t>「</w:t>
      </w:r>
      <w:r w:rsidR="00AC32A8">
        <w:rPr>
          <w:rFonts w:hint="eastAsia"/>
        </w:rPr>
        <w:t>正念頭</w:t>
      </w:r>
      <w:r w:rsidR="003A62EB">
        <w:rPr>
          <w:rFonts w:hint="eastAsia"/>
        </w:rPr>
        <w:t>」</w:t>
      </w:r>
      <w:r w:rsidR="00AC32A8">
        <w:rPr>
          <w:rFonts w:hint="eastAsia"/>
        </w:rPr>
        <w:t>，</w:t>
      </w:r>
      <w:r w:rsidR="003A62EB">
        <w:rPr>
          <w:rFonts w:hint="eastAsia"/>
        </w:rPr>
        <w:t>「</w:t>
      </w:r>
      <w:r w:rsidR="00AC32A8">
        <w:rPr>
          <w:rFonts w:hint="eastAsia"/>
        </w:rPr>
        <w:t>去其不正以歸於正</w:t>
      </w:r>
      <w:r w:rsidR="003A62EB">
        <w:rPr>
          <w:rFonts w:hint="eastAsia"/>
        </w:rPr>
        <w:t>」</w:t>
      </w:r>
      <w:r w:rsidR="00AC32A8">
        <w:rPr>
          <w:rFonts w:hint="eastAsia"/>
        </w:rPr>
        <w:t>，正好結合「致良知」及「知行合一」。</w:t>
      </w:r>
      <w:r w:rsidR="00EB763D">
        <w:rPr>
          <w:rFonts w:hint="eastAsia"/>
        </w:rPr>
        <w:t>又見：</w:t>
      </w:r>
    </w:p>
    <w:p w:rsidR="000969A7" w:rsidRPr="006236AE" w:rsidRDefault="000969A7" w:rsidP="003A071A">
      <w:pPr>
        <w:ind w:leftChars="300" w:left="720"/>
      </w:pPr>
    </w:p>
    <w:p w:rsidR="003A071A" w:rsidRDefault="003A071A" w:rsidP="003A071A">
      <w:pPr>
        <w:ind w:leftChars="300" w:left="720"/>
      </w:pPr>
      <w:r w:rsidRPr="00B125F6">
        <w:rPr>
          <w:rFonts w:ascii="標楷體" w:eastAsia="標楷體" w:hAnsi="標楷體" w:hint="eastAsia"/>
        </w:rPr>
        <w:t>明德新民，全在止至善上用功，知止能得，即是知行合一，乃止至善之功。古之欲明明德二節，反復推到格物上，意心身都來格物上用功。上文知止定安，即其功也。家國天下皆在內，元是一段工夫，合外內之道，更無七段八段。格物者，即至其理也，意心身與家國天下，隨處體認天理也。所謂至者，意心身至之也，世以想像記誦為窮理者遠矣。《寄陳惟浚》</w:t>
      </w:r>
      <w:r>
        <w:rPr>
          <w:rStyle w:val="a6"/>
        </w:rPr>
        <w:footnoteReference w:id="18"/>
      </w:r>
    </w:p>
    <w:p w:rsidR="003A071A" w:rsidRDefault="003A071A" w:rsidP="003A071A">
      <w:pPr>
        <w:ind w:leftChars="300" w:left="720"/>
      </w:pPr>
    </w:p>
    <w:p w:rsidR="00EB763D" w:rsidRDefault="00EB763D" w:rsidP="00EB763D">
      <w:r>
        <w:rPr>
          <w:rFonts w:hint="eastAsia"/>
        </w:rPr>
        <w:t xml:space="preserve">　　甘泉亦發揮他自己的《大學》文本解讀，</w:t>
      </w:r>
      <w:r w:rsidR="002B19BD">
        <w:rPr>
          <w:rFonts w:hint="eastAsia"/>
        </w:rPr>
        <w:t>「</w:t>
      </w:r>
      <w:r w:rsidR="002463FF">
        <w:rPr>
          <w:rFonts w:hint="eastAsia"/>
        </w:rPr>
        <w:t>止</w:t>
      </w:r>
      <w:r>
        <w:rPr>
          <w:rFonts w:hint="eastAsia"/>
        </w:rPr>
        <w:t>至善</w:t>
      </w:r>
      <w:r w:rsidR="002B19BD">
        <w:rPr>
          <w:rFonts w:hint="eastAsia"/>
        </w:rPr>
        <w:t>」</w:t>
      </w:r>
      <w:r>
        <w:rPr>
          <w:rFonts w:hint="eastAsia"/>
        </w:rPr>
        <w:t>即是</w:t>
      </w:r>
      <w:r w:rsidR="002B19BD">
        <w:rPr>
          <w:rFonts w:hint="eastAsia"/>
        </w:rPr>
        <w:t>「</w:t>
      </w:r>
      <w:r>
        <w:rPr>
          <w:rFonts w:hint="eastAsia"/>
        </w:rPr>
        <w:t>知行合一</w:t>
      </w:r>
      <w:r w:rsidR="002B19BD">
        <w:rPr>
          <w:rFonts w:hint="eastAsia"/>
        </w:rPr>
        <w:t>」</w:t>
      </w:r>
      <w:r>
        <w:rPr>
          <w:rFonts w:hint="eastAsia"/>
        </w:rPr>
        <w:t>，故而</w:t>
      </w:r>
      <w:r w:rsidR="002B19BD">
        <w:rPr>
          <w:rFonts w:hint="eastAsia"/>
        </w:rPr>
        <w:t>「</w:t>
      </w:r>
      <w:r>
        <w:rPr>
          <w:rFonts w:hint="eastAsia"/>
        </w:rPr>
        <w:t>知行合一</w:t>
      </w:r>
      <w:r w:rsidR="002B19BD">
        <w:rPr>
          <w:rFonts w:hint="eastAsia"/>
        </w:rPr>
        <w:t>」</w:t>
      </w:r>
      <w:r>
        <w:rPr>
          <w:rFonts w:hint="eastAsia"/>
        </w:rPr>
        <w:t>之旨甘泉亦是強調。其實，《大學》言知行必是</w:t>
      </w:r>
      <w:r w:rsidR="002B19BD">
        <w:rPr>
          <w:rFonts w:hint="eastAsia"/>
        </w:rPr>
        <w:t>「</w:t>
      </w:r>
      <w:r>
        <w:rPr>
          <w:rFonts w:hint="eastAsia"/>
        </w:rPr>
        <w:t>知行合一</w:t>
      </w:r>
      <w:r w:rsidR="002B19BD">
        <w:rPr>
          <w:rFonts w:hint="eastAsia"/>
        </w:rPr>
        <w:t>」</w:t>
      </w:r>
      <w:r>
        <w:rPr>
          <w:rFonts w:hint="eastAsia"/>
        </w:rPr>
        <w:t>，無有儒者的詮釋中會主張知行分離、割裂知行的。</w:t>
      </w:r>
      <w:r w:rsidR="002463FF">
        <w:rPr>
          <w:rFonts w:hint="eastAsia"/>
        </w:rPr>
        <w:t>雖有致知先於意心身家國家天下之說，這只是次第問題，而非</w:t>
      </w:r>
      <w:r w:rsidR="00E10E45">
        <w:rPr>
          <w:rFonts w:hint="eastAsia"/>
        </w:rPr>
        <w:t>是此非彼之論。向來說致知即連著窮理說，甘泉強調此中致知窮理，非只想象記誦之事，而是知止，知止即是知至善之目標，且實踐以達至善之境界，而明德親民即在格物上落實，故而格物即止於至善之工夫，即心身家國天下皆使至其理，故而又是另一次的「隨處體認天理」宗旨的引用而已。</w:t>
      </w:r>
      <w:r w:rsidR="002B19BD">
        <w:rPr>
          <w:rFonts w:hint="eastAsia"/>
        </w:rPr>
        <w:t>以上</w:t>
      </w:r>
      <w:r w:rsidR="004B043D">
        <w:rPr>
          <w:rFonts w:hint="eastAsia"/>
        </w:rPr>
        <w:t>甘泉格物意旨既足，</w:t>
      </w:r>
      <w:r w:rsidR="002B19BD">
        <w:rPr>
          <w:rFonts w:hint="eastAsia"/>
        </w:rPr>
        <w:t>以下</w:t>
      </w:r>
      <w:r w:rsidR="004B043D">
        <w:rPr>
          <w:rFonts w:hint="eastAsia"/>
        </w:rPr>
        <w:t>便展開對陽明批評</w:t>
      </w:r>
      <w:r w:rsidR="002B19BD">
        <w:rPr>
          <w:rFonts w:hint="eastAsia"/>
        </w:rPr>
        <w:t>的討論</w:t>
      </w:r>
      <w:r w:rsidR="004B043D">
        <w:rPr>
          <w:rFonts w:hint="eastAsia"/>
        </w:rPr>
        <w:t>。</w:t>
      </w:r>
      <w:r w:rsidR="002B19BD">
        <w:rPr>
          <w:rFonts w:hint="eastAsia"/>
        </w:rPr>
        <w:t>甘泉</w:t>
      </w:r>
      <w:r w:rsidR="004B043D">
        <w:rPr>
          <w:rFonts w:hint="eastAsia"/>
        </w:rPr>
        <w:t>言：</w:t>
      </w:r>
    </w:p>
    <w:p w:rsidR="00EB763D" w:rsidRPr="00C22A38" w:rsidRDefault="00EB763D" w:rsidP="00EB763D"/>
    <w:p w:rsidR="003A071A" w:rsidRDefault="003A071A" w:rsidP="003A071A">
      <w:pPr>
        <w:ind w:leftChars="300" w:left="720"/>
      </w:pPr>
      <w:r w:rsidRPr="00C22A38">
        <w:rPr>
          <w:rFonts w:ascii="標楷體" w:eastAsia="標楷體" w:hAnsi="標楷體" w:hint="eastAsia"/>
        </w:rPr>
        <w:t>格物即止至善也，聖賢非有二事。自意心身至家國天下，無非隨處體認天理，體認天理，即格物也。蓋自一念之微，以至事為之著，無非用力處也。陽明格物之說，以為正念頭，既於後面正心之說為贅，又況如佛老之學，皆自以為正念頭矣。因無學問思辨行功，隨處體認之實，遂並與其所謂正者一齊錯了。以上《答王宜學》</w:t>
      </w:r>
      <w:r>
        <w:rPr>
          <w:rStyle w:val="a6"/>
        </w:rPr>
        <w:footnoteReference w:id="19"/>
      </w:r>
    </w:p>
    <w:p w:rsidR="00464E3C" w:rsidRDefault="00464E3C" w:rsidP="00E54054">
      <w:pPr>
        <w:ind w:leftChars="300" w:left="720"/>
      </w:pPr>
    </w:p>
    <w:p w:rsidR="00C22A38" w:rsidRDefault="002B19BD" w:rsidP="00C22A38">
      <w:r>
        <w:rPr>
          <w:rFonts w:hint="eastAsia"/>
        </w:rPr>
        <w:t xml:space="preserve">　　陽明《大學》詮釋，結</w:t>
      </w:r>
      <w:r w:rsidR="00C22A38">
        <w:rPr>
          <w:rFonts w:hint="eastAsia"/>
        </w:rPr>
        <w:t>穴致良知，以格物釋義服務於致良知</w:t>
      </w:r>
      <w:r w:rsidR="004B043D">
        <w:rPr>
          <w:rFonts w:hint="eastAsia"/>
        </w:rPr>
        <w:t>。</w:t>
      </w:r>
      <w:r w:rsidR="00C22A38">
        <w:rPr>
          <w:rFonts w:hint="eastAsia"/>
        </w:rPr>
        <w:t>甘泉《大</w:t>
      </w:r>
      <w:r>
        <w:rPr>
          <w:rFonts w:hint="eastAsia"/>
        </w:rPr>
        <w:lastRenderedPageBreak/>
        <w:t>學》詮釋，結</w:t>
      </w:r>
      <w:r w:rsidR="00C22A38">
        <w:rPr>
          <w:rFonts w:hint="eastAsia"/>
        </w:rPr>
        <w:t>穴格物，也是為「隨處體認天理」作註解。甘泉格物說中，以格物即造道，以格物即</w:t>
      </w:r>
      <w:r w:rsidR="00EB6672">
        <w:rPr>
          <w:rFonts w:hint="eastAsia"/>
        </w:rPr>
        <w:t>《</w:t>
      </w:r>
      <w:r w:rsidR="00C22A38">
        <w:rPr>
          <w:rFonts w:hint="eastAsia"/>
        </w:rPr>
        <w:t>大學</w:t>
      </w:r>
      <w:r w:rsidR="00EB6672">
        <w:rPr>
          <w:rFonts w:hint="eastAsia"/>
        </w:rPr>
        <w:t>》</w:t>
      </w:r>
      <w:r w:rsidR="00C22A38">
        <w:rPr>
          <w:rFonts w:hint="eastAsia"/>
        </w:rPr>
        <w:t>止至善之功，以明德親民為其事，</w:t>
      </w:r>
      <w:r w:rsidR="00EB6672">
        <w:rPr>
          <w:rFonts w:hint="eastAsia"/>
        </w:rPr>
        <w:t>亦</w:t>
      </w:r>
      <w:r w:rsidR="00C22A38">
        <w:rPr>
          <w:rFonts w:hint="eastAsia"/>
        </w:rPr>
        <w:t>以誠正修齊治平為其事，</w:t>
      </w:r>
      <w:r>
        <w:rPr>
          <w:rFonts w:hint="eastAsia"/>
        </w:rPr>
        <w:t>故而合知行。甘泉以此</w:t>
      </w:r>
      <w:r w:rsidR="00EB6672">
        <w:rPr>
          <w:rFonts w:hint="eastAsia"/>
        </w:rPr>
        <w:t>批評陽明格物說，</w:t>
      </w:r>
      <w:r w:rsidR="004B043D">
        <w:rPr>
          <w:rFonts w:hint="eastAsia"/>
        </w:rPr>
        <w:t>陽明以格物為正念頭，</w:t>
      </w:r>
      <w:r w:rsidR="00EB6672">
        <w:rPr>
          <w:rFonts w:hint="eastAsia"/>
        </w:rPr>
        <w:t>一方面與後面誠意正心意思重複故而累贅，二方面對致知之功和學問思辨之事有所遺脫，故而有所不足。</w:t>
      </w:r>
      <w:r w:rsidR="004B043D">
        <w:rPr>
          <w:rFonts w:hint="eastAsia"/>
        </w:rPr>
        <w:t>筆者認為，從《大學》文本而言，批評陽明正念頭與誠意正心重複故而不宜，此說甚善，學界同意者多。當然，陽明自己辯義其旨，</w:t>
      </w:r>
      <w:r w:rsidR="00870301">
        <w:rPr>
          <w:rFonts w:hint="eastAsia"/>
        </w:rPr>
        <w:t>其實還是更改了大學文本的簡明意思，但就建立新說而言，亦無不可成立之失。至於甘泉說陽明格物喪失了致知功能，依陽明系統而言，</w:t>
      </w:r>
      <w:r w:rsidR="009A5960">
        <w:rPr>
          <w:rFonts w:hint="eastAsia"/>
        </w:rPr>
        <w:t>其實</w:t>
      </w:r>
      <w:r w:rsidR="00870301">
        <w:rPr>
          <w:rFonts w:hint="eastAsia"/>
        </w:rPr>
        <w:t>並無喪失，</w:t>
      </w:r>
      <w:r w:rsidR="009A5960">
        <w:rPr>
          <w:rFonts w:hint="eastAsia"/>
        </w:rPr>
        <w:t>陽</w:t>
      </w:r>
      <w:r w:rsidR="00870301">
        <w:rPr>
          <w:rFonts w:hint="eastAsia"/>
        </w:rPr>
        <w:t>明本來就直接講正念頭</w:t>
      </w:r>
      <w:r w:rsidR="009A5960">
        <w:rPr>
          <w:rFonts w:hint="eastAsia"/>
        </w:rPr>
        <w:t>、</w:t>
      </w:r>
      <w:r w:rsidR="00870301">
        <w:rPr>
          <w:rFonts w:hint="eastAsia"/>
        </w:rPr>
        <w:t>致良知以肆應天下萬事萬物，</w:t>
      </w:r>
      <w:r w:rsidR="009A5960">
        <w:rPr>
          <w:rFonts w:hint="eastAsia"/>
        </w:rPr>
        <w:t>陽明是把學問思辨亦納入正念頭的工夫中說，只是於</w:t>
      </w:r>
      <w:r>
        <w:rPr>
          <w:rFonts w:hint="eastAsia"/>
        </w:rPr>
        <w:t>《</w:t>
      </w:r>
      <w:r w:rsidR="009A5960">
        <w:rPr>
          <w:rFonts w:hint="eastAsia"/>
        </w:rPr>
        <w:t>大學</w:t>
      </w:r>
      <w:r>
        <w:rPr>
          <w:rFonts w:hint="eastAsia"/>
        </w:rPr>
        <w:t>》</w:t>
      </w:r>
      <w:r w:rsidR="009A5960">
        <w:rPr>
          <w:rFonts w:hint="eastAsia"/>
        </w:rPr>
        <w:t>文本的</w:t>
      </w:r>
      <w:r>
        <w:rPr>
          <w:rFonts w:hint="eastAsia"/>
        </w:rPr>
        <w:t>簡易</w:t>
      </w:r>
      <w:r w:rsidR="009A5960">
        <w:rPr>
          <w:rFonts w:hint="eastAsia"/>
        </w:rPr>
        <w:t>清晰意旨不免含混過去，但是亦不可能主張了一個忽略學問思辨的工夫，只是其語意引來甘泉議論而已。這些，都是替別人的理論瞎擔憂，都是疏忽其旨的自我臆想。又，甘泉批評陽明之說反有</w:t>
      </w:r>
      <w:r>
        <w:rPr>
          <w:rFonts w:hint="eastAsia"/>
        </w:rPr>
        <w:t>「</w:t>
      </w:r>
      <w:r w:rsidR="009A5960">
        <w:rPr>
          <w:rFonts w:hint="eastAsia"/>
        </w:rPr>
        <w:t>是內遺外</w:t>
      </w:r>
      <w:r>
        <w:rPr>
          <w:rFonts w:hint="eastAsia"/>
        </w:rPr>
        <w:t>」</w:t>
      </w:r>
      <w:r w:rsidR="009A5960">
        <w:rPr>
          <w:rFonts w:hint="eastAsia"/>
        </w:rPr>
        <w:t>之失。其言：</w:t>
      </w:r>
    </w:p>
    <w:p w:rsidR="00C22A38" w:rsidRDefault="00C22A38" w:rsidP="00604869">
      <w:pPr>
        <w:ind w:leftChars="300" w:left="720"/>
      </w:pPr>
    </w:p>
    <w:p w:rsidR="00604869" w:rsidRDefault="00604869" w:rsidP="00604869">
      <w:pPr>
        <w:ind w:leftChars="300" w:left="720"/>
      </w:pPr>
      <w:r w:rsidRPr="009A5960">
        <w:rPr>
          <w:rFonts w:ascii="標楷體" w:eastAsia="標楷體" w:hAnsi="標楷體" w:hint="eastAsia"/>
        </w:rPr>
        <w:t>陽明謂隨處體認天理，是求於外。若然，則告子「義外」之說為是，而孟子「長之者義乎」之說為非，孔子「執事敬」之教為欺我矣！程子所謂「體用一原，顯微無間」，格物是也，更無內外。蓋陽明與吾看心不同，吾之所為心者，體萬物而不遺者也，故無內外；陽明之所謂心者，指腔子？而為言者也，故以吾之說為外。《答楊少默</w:t>
      </w:r>
      <w:r>
        <w:rPr>
          <w:rFonts w:hint="eastAsia"/>
        </w:rPr>
        <w:t>》</w:t>
      </w:r>
      <w:r>
        <w:rPr>
          <w:rStyle w:val="a6"/>
        </w:rPr>
        <w:footnoteReference w:id="20"/>
      </w:r>
    </w:p>
    <w:p w:rsidR="00604869" w:rsidRDefault="00604869" w:rsidP="00604869">
      <w:pPr>
        <w:ind w:leftChars="300" w:left="720"/>
      </w:pPr>
    </w:p>
    <w:p w:rsidR="00D77C30" w:rsidRDefault="00D77C30" w:rsidP="00D77C30">
      <w:r>
        <w:rPr>
          <w:rFonts w:hint="eastAsia"/>
        </w:rPr>
        <w:t xml:space="preserve">　　甘泉論心，已經心包萬物矣，既然如此，則</w:t>
      </w:r>
      <w:r w:rsidR="00655B77">
        <w:rPr>
          <w:rFonts w:hint="eastAsia"/>
        </w:rPr>
        <w:t>以此心「隨處體認天理」，則天下萬事皆我心肆應之處矣。陽明批評為求於外，依陽明意旨，求於外者捨心之功矣，意即未能提起良知自定宗旨者。此說，當然也是無端臆想之偏見。甘泉不服，「隨處體認天理」正是吾儒之工夫宗旨，若此說為外，則告子義外正說出此旨，故而告子為是而孟子為非，孟子講「長之者」即是義內之說，即是義之發動在於心內，卻反而遺外了。以上辯義，自是意氣之詞，既然你亂講了，則孟告之辯的是非對錯就正好相反了。而且，孔子「執事敬」，也是亂說了，因為依甘泉，「隨處體認天理」便是「執事敬」，故孔子亦欺我矣。甘泉講出了重點，就是兩人論心有所不同，甘泉以心體物不遺，</w:t>
      </w:r>
      <w:r w:rsidR="00DC6C0D">
        <w:rPr>
          <w:rFonts w:hint="eastAsia"/>
        </w:rPr>
        <w:t>故而陽明講心，則只是內而遺外。</w:t>
      </w:r>
      <w:r w:rsidR="00655B77">
        <w:rPr>
          <w:rFonts w:hint="eastAsia"/>
        </w:rPr>
        <w:t>而陽明</w:t>
      </w:r>
      <w:r w:rsidR="00DC6C0D">
        <w:rPr>
          <w:rFonts w:hint="eastAsia"/>
        </w:rPr>
        <w:t>亦</w:t>
      </w:r>
      <w:r w:rsidR="00655B77">
        <w:rPr>
          <w:rFonts w:hint="eastAsia"/>
        </w:rPr>
        <w:t>反對甘泉之說，以甘泉之此心體認天理為在外遺內之說。</w:t>
      </w:r>
    </w:p>
    <w:p w:rsidR="00655B77" w:rsidRPr="00DC6C0D" w:rsidRDefault="00655B77" w:rsidP="00D77C30"/>
    <w:p w:rsidR="00655B77" w:rsidRDefault="000C126A" w:rsidP="00D77C30">
      <w:r>
        <w:rPr>
          <w:rFonts w:hint="eastAsia"/>
        </w:rPr>
        <w:t xml:space="preserve">　　</w:t>
      </w:r>
      <w:r w:rsidR="00655B77">
        <w:rPr>
          <w:rFonts w:hint="eastAsia"/>
        </w:rPr>
        <w:t>依筆者，兩人皆無謂臆想之惡意攻擊。</w:t>
      </w:r>
      <w:r w:rsidR="00191F8B">
        <w:rPr>
          <w:rFonts w:hint="eastAsia"/>
        </w:rPr>
        <w:t>兩人皆無遺內遺外之失，只是在錯解他人之說時而有的誤解之詞而已。由此可見，儒者意氣之爭不少，也是陽明攻擊甘泉求之於外而失</w:t>
      </w:r>
      <w:r w:rsidR="00DC6C0D">
        <w:rPr>
          <w:rFonts w:hint="eastAsia"/>
        </w:rPr>
        <w:t>之</w:t>
      </w:r>
      <w:r w:rsidR="00191F8B">
        <w:rPr>
          <w:rFonts w:hint="eastAsia"/>
        </w:rPr>
        <w:t>於內的批評所惹來的無謂的互相指控。</w:t>
      </w:r>
      <w:r>
        <w:rPr>
          <w:rFonts w:hint="eastAsia"/>
        </w:rPr>
        <w:t>此內外之議論，又見下文：</w:t>
      </w:r>
    </w:p>
    <w:p w:rsidR="00D77C30" w:rsidRDefault="00D77C30" w:rsidP="00D77C30"/>
    <w:p w:rsidR="00604869" w:rsidRDefault="00604869" w:rsidP="00604869">
      <w:pPr>
        <w:ind w:leftChars="300" w:left="720"/>
      </w:pPr>
      <w:r w:rsidRPr="000C126A">
        <w:rPr>
          <w:rFonts w:ascii="標楷體" w:eastAsia="標楷體" w:hAnsi="標楷體" w:hint="eastAsia"/>
        </w:rPr>
        <w:t>以隨處體認為求之於外者，非也。心與事應，然後天理見焉。天理非在</w:t>
      </w:r>
      <w:r w:rsidRPr="000C126A">
        <w:rPr>
          <w:rFonts w:ascii="標楷體" w:eastAsia="標楷體" w:hAnsi="標楷體" w:hint="eastAsia"/>
        </w:rPr>
        <w:lastRenderedPageBreak/>
        <w:t>外也，特因事之來，隨感而應耳。故事物之來，體之者心也。心得中正，則天理矣。人與天地萬物一體，宇宙內即與人不是二物，故宇宙內無一事一物合是人少得底</w:t>
      </w:r>
      <w:r>
        <w:rPr>
          <w:rFonts w:hint="eastAsia"/>
        </w:rPr>
        <w:t>。</w:t>
      </w:r>
      <w:r>
        <w:rPr>
          <w:rStyle w:val="a6"/>
        </w:rPr>
        <w:footnoteReference w:id="21"/>
      </w:r>
    </w:p>
    <w:p w:rsidR="00604869" w:rsidRDefault="00604869" w:rsidP="00E54054">
      <w:pPr>
        <w:ind w:leftChars="300" w:left="720"/>
      </w:pPr>
    </w:p>
    <w:p w:rsidR="00920519" w:rsidRDefault="00DC6C0D" w:rsidP="00BD3B50">
      <w:r>
        <w:rPr>
          <w:rFonts w:hint="eastAsia"/>
        </w:rPr>
        <w:t xml:space="preserve">    </w:t>
      </w:r>
      <w:r w:rsidR="000C126A">
        <w:rPr>
          <w:rFonts w:hint="eastAsia"/>
        </w:rPr>
        <w:t>此文再度反駁陽</w:t>
      </w:r>
      <w:r>
        <w:rPr>
          <w:rFonts w:hint="eastAsia"/>
        </w:rPr>
        <w:t>明</w:t>
      </w:r>
      <w:r w:rsidR="000C126A">
        <w:rPr>
          <w:rFonts w:hint="eastAsia"/>
        </w:rPr>
        <w:t>批評甘泉「隨處體認天理」為外之說。求之於外者，</w:t>
      </w:r>
      <w:r w:rsidR="00965D50">
        <w:rPr>
          <w:rFonts w:hint="eastAsia"/>
        </w:rPr>
        <w:t>沒有治心之功，此說當然是無謂的錯解。至於甘泉，此心與天地萬物本自不隔，「隨處體認」即是事來應物，心與事應，天理見焉。天理就在此心處理治事之中見。</w:t>
      </w:r>
    </w:p>
    <w:p w:rsidR="00032E0E" w:rsidRDefault="00032E0E" w:rsidP="00BD3B50"/>
    <w:p w:rsidR="00DA505A" w:rsidRDefault="00965D50" w:rsidP="00965D5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結論</w:t>
      </w:r>
    </w:p>
    <w:p w:rsidR="00DA505A" w:rsidRPr="00DA505A" w:rsidRDefault="00DA505A" w:rsidP="00DA505A"/>
    <w:p w:rsidR="004512EA" w:rsidRPr="00DA505A" w:rsidRDefault="00DC6C0D">
      <w:r>
        <w:rPr>
          <w:rFonts w:hint="eastAsia"/>
        </w:rPr>
        <w:t xml:space="preserve">    </w:t>
      </w:r>
      <w:r w:rsidR="009637FB">
        <w:rPr>
          <w:rFonts w:hint="eastAsia"/>
        </w:rPr>
        <w:t>黃宗羲論甘泉，發皇其旨，</w:t>
      </w:r>
      <w:r>
        <w:rPr>
          <w:rFonts w:hint="eastAsia"/>
        </w:rPr>
        <w:t>標舉「隨處體認天理」，此旨甚肯。</w:t>
      </w:r>
      <w:r w:rsidR="009637FB">
        <w:rPr>
          <w:rFonts w:hint="eastAsia"/>
        </w:rPr>
        <w:t>惟對甘泉與陽明之辯義，</w:t>
      </w:r>
      <w:r>
        <w:rPr>
          <w:rFonts w:hint="eastAsia"/>
        </w:rPr>
        <w:t>黃氏卻</w:t>
      </w:r>
      <w:r w:rsidR="009637FB">
        <w:rPr>
          <w:rFonts w:hint="eastAsia"/>
        </w:rPr>
        <w:t>支持陽明立場</w:t>
      </w:r>
      <w:r>
        <w:rPr>
          <w:rFonts w:hint="eastAsia"/>
        </w:rPr>
        <w:t>，而</w:t>
      </w:r>
      <w:r w:rsidR="009637FB">
        <w:rPr>
          <w:rFonts w:hint="eastAsia"/>
        </w:rPr>
        <w:t>反駁甘泉之非議。其實，陽明對甘泉也有批評，</w:t>
      </w:r>
      <w:r>
        <w:rPr>
          <w:rFonts w:hint="eastAsia"/>
        </w:rPr>
        <w:t>只是</w:t>
      </w:r>
      <w:r w:rsidR="009637FB">
        <w:rPr>
          <w:rFonts w:hint="eastAsia"/>
        </w:rPr>
        <w:t>雙方的批評，都是無謂的異想、錯解而已，無論是格物概念的解說</w:t>
      </w:r>
      <w:r>
        <w:rPr>
          <w:rFonts w:hint="eastAsia"/>
        </w:rPr>
        <w:t>，</w:t>
      </w:r>
      <w:r w:rsidR="009637FB">
        <w:rPr>
          <w:rFonts w:hint="eastAsia"/>
        </w:rPr>
        <w:t>還是</w:t>
      </w:r>
      <w:r>
        <w:rPr>
          <w:rFonts w:hint="eastAsia"/>
        </w:rPr>
        <w:t>工夫之</w:t>
      </w:r>
      <w:r w:rsidR="009637FB">
        <w:rPr>
          <w:rFonts w:hint="eastAsia"/>
        </w:rPr>
        <w:t>內外意旨的爭執。格物概念，兩家皆是為服務於自己的系統而建立理論，皆於《大學》意旨有所升高與偏解，沒有</w:t>
      </w:r>
      <w:r>
        <w:rPr>
          <w:rFonts w:hint="eastAsia"/>
        </w:rPr>
        <w:t>誰</w:t>
      </w:r>
      <w:r w:rsidR="009637FB">
        <w:rPr>
          <w:rFonts w:hint="eastAsia"/>
        </w:rPr>
        <w:t>對誰錯。至於內外意旨之爭執，更是無謂的論辯。筆者以為，中國哲學的討論，涉及內外、有無、體用、本末、動靜等概念之爭時，都是沒有必要的爭執。這些功能性的概念，都是看問題</w:t>
      </w:r>
      <w:r>
        <w:rPr>
          <w:rFonts w:hint="eastAsia"/>
        </w:rPr>
        <w:t>、</w:t>
      </w:r>
      <w:r w:rsidR="009637FB">
        <w:rPr>
          <w:rFonts w:hint="eastAsia"/>
        </w:rPr>
        <w:t>看脈絡而隨時定義</w:t>
      </w:r>
      <w:r>
        <w:rPr>
          <w:rFonts w:hint="eastAsia"/>
        </w:rPr>
        <w:t>以方便使用的，此處之爭執，從來都是各說各話而已</w:t>
      </w:r>
      <w:r w:rsidR="009637FB">
        <w:rPr>
          <w:rFonts w:hint="eastAsia"/>
        </w:rPr>
        <w:t>，</w:t>
      </w:r>
      <w:r w:rsidR="00354756">
        <w:rPr>
          <w:rFonts w:hint="eastAsia"/>
        </w:rPr>
        <w:t>陽明甘泉兩造皆無須爭辯對錯。至於甘泉宗旨，「隨處體認天理」，可以說是甘泉一套工夫論旨的命題，</w:t>
      </w:r>
      <w:r w:rsidR="00282106">
        <w:rPr>
          <w:rFonts w:hint="eastAsia"/>
        </w:rPr>
        <w:t>自有其獨立的理論意義。筆者以為，這是一套悟後工夫，有白沙境界工夫的意思在，學界尊重之即可。</w:t>
      </w:r>
    </w:p>
    <w:sectPr w:rsidR="004512EA" w:rsidRPr="00DA505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D49" w:rsidRDefault="000B3D49" w:rsidP="00930E24">
      <w:r>
        <w:separator/>
      </w:r>
    </w:p>
  </w:endnote>
  <w:endnote w:type="continuationSeparator" w:id="0">
    <w:p w:rsidR="000B3D49" w:rsidRDefault="000B3D49" w:rsidP="00930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7079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4756" w:rsidRDefault="00354756">
            <w:pPr>
              <w:pStyle w:val="a9"/>
              <w:jc w:val="center"/>
            </w:pPr>
            <w:r>
              <w:rPr>
                <w:lang w:val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225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TW"/>
              </w:rPr>
              <w:t xml:space="preserve"> </w:t>
            </w:r>
            <w:r>
              <w:rPr>
                <w:lang w:val="zh-TW"/>
              </w:rPr>
              <w:t>的</w:t>
            </w:r>
            <w:r>
              <w:rPr>
                <w:lang w:val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2255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54756" w:rsidRDefault="0035475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D49" w:rsidRDefault="000B3D49" w:rsidP="00930E24">
      <w:r>
        <w:separator/>
      </w:r>
    </w:p>
  </w:footnote>
  <w:footnote w:type="continuationSeparator" w:id="0">
    <w:p w:rsidR="000B3D49" w:rsidRDefault="000B3D49" w:rsidP="00930E24">
      <w:r>
        <w:continuationSeparator/>
      </w:r>
    </w:p>
  </w:footnote>
  <w:footnote w:id="1">
    <w:p w:rsidR="00354756" w:rsidRDefault="00354756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hint="eastAsia"/>
        </w:rPr>
        <w:t>黃宗羲，《明儒學案、卷三十七、甘泉學案》。台灣，華世出版社，</w:t>
      </w:r>
      <w:r>
        <w:rPr>
          <w:rFonts w:hint="eastAsia"/>
        </w:rPr>
        <w:t>1987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月台一版。頁</w:t>
      </w:r>
      <w:r>
        <w:rPr>
          <w:rFonts w:hint="eastAsia"/>
        </w:rPr>
        <w:t>876</w:t>
      </w:r>
      <w:r>
        <w:t>~877</w:t>
      </w:r>
      <w:r>
        <w:rPr>
          <w:rFonts w:hint="eastAsia"/>
        </w:rPr>
        <w:t>。</w:t>
      </w:r>
    </w:p>
  </w:footnote>
  <w:footnote w:id="2">
    <w:p w:rsidR="00354756" w:rsidRDefault="00354756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hint="eastAsia"/>
        </w:rPr>
        <w:t>參見杜保瑞、陳榮華合著《哲學概論》＜第八章：儒家修養論＞，台灣五南書局，</w:t>
      </w:r>
      <w:r w:rsidRPr="00883560">
        <w:rPr>
          <w:rFonts w:hint="eastAsia"/>
        </w:rPr>
        <w:t>2008</w:t>
      </w:r>
      <w:r w:rsidRPr="00883560">
        <w:rPr>
          <w:rFonts w:hint="eastAsia"/>
        </w:rPr>
        <w:t>年</w:t>
      </w:r>
      <w:r w:rsidRPr="00883560">
        <w:rPr>
          <w:rFonts w:hint="eastAsia"/>
        </w:rPr>
        <w:t>1</w:t>
      </w:r>
      <w:r w:rsidRPr="00883560">
        <w:rPr>
          <w:rFonts w:hint="eastAsia"/>
        </w:rPr>
        <w:t>月初版</w:t>
      </w:r>
      <w:r>
        <w:rPr>
          <w:rFonts w:hint="eastAsia"/>
        </w:rPr>
        <w:t>。以及杜保瑞著《中國哲學方法論》，</w:t>
      </w:r>
      <w:r w:rsidRPr="00883560">
        <w:rPr>
          <w:rFonts w:hint="eastAsia"/>
        </w:rPr>
        <w:t>臺灣商務印書館，</w:t>
      </w:r>
      <w:r w:rsidRPr="00883560">
        <w:rPr>
          <w:rFonts w:hint="eastAsia"/>
        </w:rPr>
        <w:t>2013</w:t>
      </w:r>
      <w:r w:rsidRPr="00883560">
        <w:rPr>
          <w:rFonts w:hint="eastAsia"/>
        </w:rPr>
        <w:t>年</w:t>
      </w:r>
      <w:r w:rsidRPr="00883560">
        <w:rPr>
          <w:rFonts w:hint="eastAsia"/>
        </w:rPr>
        <w:t>8</w:t>
      </w:r>
      <w:r w:rsidRPr="00883560">
        <w:rPr>
          <w:rFonts w:hint="eastAsia"/>
        </w:rPr>
        <w:t>月初版</w:t>
      </w:r>
      <w:r>
        <w:rPr>
          <w:rFonts w:hint="eastAsia"/>
        </w:rPr>
        <w:t>。</w:t>
      </w:r>
    </w:p>
  </w:footnote>
  <w:footnote w:id="3">
    <w:p w:rsidR="00354756" w:rsidRDefault="00354756">
      <w:pPr>
        <w:pStyle w:val="a4"/>
      </w:pPr>
      <w:r>
        <w:rPr>
          <w:rStyle w:val="a6"/>
        </w:rPr>
        <w:footnoteRef/>
      </w:r>
      <w:r>
        <w:t xml:space="preserve"> </w:t>
      </w:r>
      <w:r w:rsidRPr="001454B4">
        <w:rPr>
          <w:rFonts w:hint="eastAsia"/>
        </w:rPr>
        <w:t>《明儒學案、卷三十七、甘泉學案》</w:t>
      </w:r>
      <w:r>
        <w:rPr>
          <w:rFonts w:hint="eastAsia"/>
        </w:rPr>
        <w:t>頁</w:t>
      </w:r>
      <w:r>
        <w:rPr>
          <w:rFonts w:hint="eastAsia"/>
        </w:rPr>
        <w:t>877~878</w:t>
      </w:r>
      <w:r>
        <w:rPr>
          <w:rFonts w:hint="eastAsia"/>
        </w:rPr>
        <w:t>。</w:t>
      </w:r>
    </w:p>
  </w:footnote>
  <w:footnote w:id="4">
    <w:p w:rsidR="00354756" w:rsidRDefault="00354756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hint="eastAsia"/>
        </w:rPr>
        <w:t>「孟津曰：「心之本體，莫非天理，學者終日終身用功，只是要循著天理，求復本體而已。本體何分於動靜乎？明道云：『須看喜怒哀樂未發前作何氣象。』延平之教，默坐澄心，體認天理。象山誨學者曰：『須在人情事變上用工夫。』喜怒哀樂情也，亦事也，已發者也。一則欲求諸已發，一則欲看諸未發，何與？竊意三先生之教一也。明道為學者未識得本體，看未發之前氣象，正欲體認本體也。認得本體，方好用功。延平亦明道意也。象山恐學者未識於實地用功，即墮於空虛漭蕩，便有岐心事為二之病。人情事變，乃日用有實地可據處，即此實地，以體認吾心本然之天理，即人情事變，無不是天理流行，無不是未發前氣象矣。若不從實地體認出來，竊恐病痛未除，猶與本體二也。幸賜明教。」</w:t>
      </w:r>
      <w:r w:rsidRPr="001454B4">
        <w:rPr>
          <w:rFonts w:hint="eastAsia"/>
        </w:rPr>
        <w:t>《明儒學案、卷三十七、甘泉學案》頁</w:t>
      </w:r>
      <w:r>
        <w:rPr>
          <w:rFonts w:hint="eastAsia"/>
        </w:rPr>
        <w:t>907</w:t>
      </w:r>
      <w:r>
        <w:rPr>
          <w:rFonts w:hint="eastAsia"/>
        </w:rPr>
        <w:t>。</w:t>
      </w:r>
    </w:p>
  </w:footnote>
  <w:footnote w:id="5">
    <w:p w:rsidR="00354756" w:rsidRDefault="00354756">
      <w:pPr>
        <w:pStyle w:val="a4"/>
      </w:pPr>
      <w:r>
        <w:rPr>
          <w:rStyle w:val="a6"/>
        </w:rPr>
        <w:footnoteRef/>
      </w:r>
      <w:r>
        <w:t xml:space="preserve"> </w:t>
      </w:r>
      <w:r w:rsidRPr="001454B4">
        <w:rPr>
          <w:rFonts w:hint="eastAsia"/>
        </w:rPr>
        <w:t>《明儒學案、卷三十七、甘泉學案》</w:t>
      </w:r>
      <w:r>
        <w:rPr>
          <w:rFonts w:hint="eastAsia"/>
        </w:rPr>
        <w:t>頁</w:t>
      </w:r>
      <w:r>
        <w:rPr>
          <w:rFonts w:hint="eastAsia"/>
        </w:rPr>
        <w:t>908</w:t>
      </w:r>
      <w:r>
        <w:rPr>
          <w:rFonts w:hint="eastAsia"/>
        </w:rPr>
        <w:t>。</w:t>
      </w:r>
    </w:p>
  </w:footnote>
  <w:footnote w:id="6">
    <w:p w:rsidR="00354756" w:rsidRDefault="00354756">
      <w:pPr>
        <w:pStyle w:val="a4"/>
      </w:pPr>
      <w:r>
        <w:rPr>
          <w:rStyle w:val="a6"/>
        </w:rPr>
        <w:footnoteRef/>
      </w:r>
      <w:r>
        <w:t xml:space="preserve"> </w:t>
      </w:r>
      <w:r w:rsidRPr="001454B4">
        <w:rPr>
          <w:rFonts w:hint="eastAsia"/>
        </w:rPr>
        <w:t>《明儒學案、卷三十七、甘泉學案》頁</w:t>
      </w:r>
      <w:r>
        <w:rPr>
          <w:rFonts w:hint="eastAsia"/>
        </w:rPr>
        <w:t>906</w:t>
      </w:r>
      <w:r>
        <w:rPr>
          <w:rFonts w:hint="eastAsia"/>
        </w:rPr>
        <w:t>。</w:t>
      </w:r>
    </w:p>
  </w:footnote>
  <w:footnote w:id="7">
    <w:p w:rsidR="00354756" w:rsidRDefault="00354756">
      <w:pPr>
        <w:pStyle w:val="a4"/>
      </w:pPr>
      <w:r>
        <w:rPr>
          <w:rStyle w:val="a6"/>
        </w:rPr>
        <w:footnoteRef/>
      </w:r>
      <w:r>
        <w:rPr>
          <w:rFonts w:hint="eastAsia"/>
        </w:rPr>
        <w:t xml:space="preserve"> </w:t>
      </w:r>
      <w:r w:rsidRPr="001454B4">
        <w:rPr>
          <w:rFonts w:hint="eastAsia"/>
        </w:rPr>
        <w:t>《明儒學案、卷三十七、甘泉學案》頁</w:t>
      </w:r>
      <w:r>
        <w:rPr>
          <w:rFonts w:hint="eastAsia"/>
        </w:rPr>
        <w:t>901</w:t>
      </w:r>
      <w:r>
        <w:rPr>
          <w:rFonts w:hint="eastAsia"/>
        </w:rPr>
        <w:t>。</w:t>
      </w:r>
    </w:p>
  </w:footnote>
  <w:footnote w:id="8">
    <w:p w:rsidR="00354756" w:rsidRDefault="00354756">
      <w:pPr>
        <w:pStyle w:val="a4"/>
      </w:pPr>
      <w:r>
        <w:rPr>
          <w:rStyle w:val="a6"/>
        </w:rPr>
        <w:footnoteRef/>
      </w:r>
      <w:r>
        <w:t xml:space="preserve"> </w:t>
      </w:r>
      <w:r w:rsidRPr="001454B4">
        <w:rPr>
          <w:rFonts w:hint="eastAsia"/>
        </w:rPr>
        <w:t>《明儒學案、卷三十七、甘泉學案》頁</w:t>
      </w:r>
      <w:r>
        <w:rPr>
          <w:rFonts w:hint="eastAsia"/>
        </w:rPr>
        <w:t>894</w:t>
      </w:r>
      <w:r>
        <w:rPr>
          <w:rFonts w:hint="eastAsia"/>
        </w:rPr>
        <w:t>。</w:t>
      </w:r>
    </w:p>
  </w:footnote>
  <w:footnote w:id="9">
    <w:p w:rsidR="00354756" w:rsidRDefault="00354756">
      <w:pPr>
        <w:pStyle w:val="a4"/>
      </w:pPr>
      <w:r>
        <w:rPr>
          <w:rStyle w:val="a6"/>
        </w:rPr>
        <w:footnoteRef/>
      </w:r>
      <w:r>
        <w:t xml:space="preserve"> </w:t>
      </w:r>
      <w:r w:rsidRPr="001454B4">
        <w:rPr>
          <w:rFonts w:hint="eastAsia"/>
        </w:rPr>
        <w:t>《明儒學案、卷三十七、甘泉學案》頁</w:t>
      </w:r>
      <w:r>
        <w:rPr>
          <w:rFonts w:hint="eastAsia"/>
        </w:rPr>
        <w:t>893</w:t>
      </w:r>
      <w:r>
        <w:rPr>
          <w:rFonts w:hint="eastAsia"/>
        </w:rPr>
        <w:t>。</w:t>
      </w:r>
    </w:p>
  </w:footnote>
  <w:footnote w:id="10">
    <w:p w:rsidR="00354756" w:rsidRDefault="00354756">
      <w:pPr>
        <w:pStyle w:val="a4"/>
      </w:pPr>
      <w:r>
        <w:rPr>
          <w:rStyle w:val="a6"/>
        </w:rPr>
        <w:footnoteRef/>
      </w:r>
      <w:r w:rsidRPr="001454B4">
        <w:rPr>
          <w:rFonts w:hint="eastAsia"/>
        </w:rPr>
        <w:t>《明儒學案、卷三十七、甘泉學案》頁</w:t>
      </w:r>
      <w:r>
        <w:rPr>
          <w:rFonts w:hint="eastAsia"/>
        </w:rPr>
        <w:t>87</w:t>
      </w:r>
      <w:r>
        <w:t>9~880</w:t>
      </w:r>
      <w:r>
        <w:rPr>
          <w:rFonts w:hint="eastAsia"/>
        </w:rPr>
        <w:t>。</w:t>
      </w:r>
    </w:p>
  </w:footnote>
  <w:footnote w:id="11">
    <w:p w:rsidR="00354756" w:rsidRDefault="00354756">
      <w:pPr>
        <w:pStyle w:val="a4"/>
      </w:pPr>
      <w:r>
        <w:rPr>
          <w:rStyle w:val="a6"/>
        </w:rPr>
        <w:footnoteRef/>
      </w:r>
      <w:r>
        <w:t xml:space="preserve"> </w:t>
      </w:r>
      <w:r w:rsidRPr="001454B4">
        <w:rPr>
          <w:rFonts w:hint="eastAsia"/>
        </w:rPr>
        <w:t>《明儒學案、卷三十七、甘泉學案》頁</w:t>
      </w:r>
      <w:r>
        <w:rPr>
          <w:rFonts w:hint="eastAsia"/>
        </w:rPr>
        <w:t>881</w:t>
      </w:r>
      <w:r>
        <w:rPr>
          <w:rFonts w:hint="eastAsia"/>
        </w:rPr>
        <w:t>。</w:t>
      </w:r>
    </w:p>
  </w:footnote>
  <w:footnote w:id="12">
    <w:p w:rsidR="00354756" w:rsidRDefault="00354756">
      <w:pPr>
        <w:pStyle w:val="a4"/>
      </w:pPr>
      <w:r>
        <w:rPr>
          <w:rStyle w:val="a6"/>
        </w:rPr>
        <w:footnoteRef/>
      </w:r>
      <w:r>
        <w:t xml:space="preserve"> </w:t>
      </w:r>
      <w:r w:rsidRPr="001454B4">
        <w:rPr>
          <w:rFonts w:hint="eastAsia"/>
        </w:rPr>
        <w:t>《明儒學案、卷三十七、甘泉學案》頁</w:t>
      </w:r>
      <w:r>
        <w:rPr>
          <w:rFonts w:hint="eastAsia"/>
        </w:rPr>
        <w:t>885</w:t>
      </w:r>
      <w:r>
        <w:rPr>
          <w:rFonts w:hint="eastAsia"/>
        </w:rPr>
        <w:t>。</w:t>
      </w:r>
    </w:p>
  </w:footnote>
  <w:footnote w:id="13">
    <w:p w:rsidR="00354756" w:rsidRDefault="00354756" w:rsidP="009C35EB">
      <w:pPr>
        <w:pStyle w:val="a4"/>
      </w:pPr>
      <w:r>
        <w:rPr>
          <w:rStyle w:val="a6"/>
        </w:rPr>
        <w:footnoteRef/>
      </w:r>
      <w:r>
        <w:t xml:space="preserve"> </w:t>
      </w:r>
      <w:r w:rsidRPr="001454B4">
        <w:rPr>
          <w:rFonts w:hint="eastAsia"/>
        </w:rPr>
        <w:t>《明儒學案、卷三十七、甘泉學案》頁</w:t>
      </w:r>
      <w:r>
        <w:rPr>
          <w:rFonts w:hint="eastAsia"/>
        </w:rPr>
        <w:t>902</w:t>
      </w:r>
      <w:r>
        <w:rPr>
          <w:rFonts w:hint="eastAsia"/>
        </w:rPr>
        <w:t>。</w:t>
      </w:r>
    </w:p>
  </w:footnote>
  <w:footnote w:id="14">
    <w:p w:rsidR="00354756" w:rsidRDefault="00354756">
      <w:pPr>
        <w:pStyle w:val="a4"/>
      </w:pPr>
      <w:r>
        <w:rPr>
          <w:rStyle w:val="a6"/>
        </w:rPr>
        <w:footnoteRef/>
      </w:r>
      <w:r>
        <w:t xml:space="preserve"> </w:t>
      </w:r>
      <w:r w:rsidRPr="001454B4">
        <w:rPr>
          <w:rFonts w:hint="eastAsia"/>
        </w:rPr>
        <w:t>《明儒學案、卷三十七、甘泉學案》頁</w:t>
      </w:r>
      <w:r>
        <w:rPr>
          <w:rFonts w:hint="eastAsia"/>
        </w:rPr>
        <w:t>903</w:t>
      </w:r>
      <w:r>
        <w:rPr>
          <w:rFonts w:hint="eastAsia"/>
        </w:rPr>
        <w:t>。</w:t>
      </w:r>
    </w:p>
  </w:footnote>
  <w:footnote w:id="15">
    <w:p w:rsidR="00354756" w:rsidRDefault="00354756">
      <w:pPr>
        <w:pStyle w:val="a4"/>
      </w:pPr>
      <w:r>
        <w:rPr>
          <w:rStyle w:val="a6"/>
        </w:rPr>
        <w:footnoteRef/>
      </w:r>
      <w:r>
        <w:t xml:space="preserve"> </w:t>
      </w:r>
      <w:r w:rsidRPr="001454B4">
        <w:rPr>
          <w:rFonts w:hint="eastAsia"/>
        </w:rPr>
        <w:t>《明儒學案、卷三十七、甘泉學案》頁</w:t>
      </w:r>
      <w:r>
        <w:rPr>
          <w:rFonts w:hint="eastAsia"/>
        </w:rPr>
        <w:t>879</w:t>
      </w:r>
      <w:r>
        <w:rPr>
          <w:rFonts w:hint="eastAsia"/>
        </w:rPr>
        <w:t>。</w:t>
      </w:r>
    </w:p>
  </w:footnote>
  <w:footnote w:id="16">
    <w:p w:rsidR="00354756" w:rsidRDefault="00354756">
      <w:pPr>
        <w:pStyle w:val="a4"/>
      </w:pPr>
      <w:r>
        <w:rPr>
          <w:rStyle w:val="a6"/>
        </w:rPr>
        <w:footnoteRef/>
      </w:r>
      <w:r w:rsidR="00371BE3" w:rsidRPr="00371BE3">
        <w:rPr>
          <w:rFonts w:hint="eastAsia"/>
        </w:rPr>
        <w:t>《明儒學案、卷三十七、甘泉學案》頁</w:t>
      </w:r>
      <w:r>
        <w:rPr>
          <w:rFonts w:hint="eastAsia"/>
        </w:rPr>
        <w:t>882</w:t>
      </w:r>
      <w:r>
        <w:rPr>
          <w:rFonts w:hint="eastAsia"/>
        </w:rPr>
        <w:t>。</w:t>
      </w:r>
    </w:p>
  </w:footnote>
  <w:footnote w:id="17">
    <w:p w:rsidR="00354756" w:rsidRDefault="00354756">
      <w:pPr>
        <w:pStyle w:val="a4"/>
      </w:pPr>
      <w:r>
        <w:rPr>
          <w:rStyle w:val="a6"/>
        </w:rPr>
        <w:footnoteRef/>
      </w:r>
      <w:r w:rsidR="00371BE3" w:rsidRPr="001454B4">
        <w:rPr>
          <w:rFonts w:hint="eastAsia"/>
        </w:rPr>
        <w:t>《明儒學案、卷三十七、甘泉學案》頁</w:t>
      </w:r>
      <w:r>
        <w:rPr>
          <w:rFonts w:hint="eastAsia"/>
        </w:rPr>
        <w:t>882</w:t>
      </w:r>
      <w:r>
        <w:rPr>
          <w:rFonts w:hint="eastAsia"/>
        </w:rPr>
        <w:t>。</w:t>
      </w:r>
    </w:p>
  </w:footnote>
  <w:footnote w:id="18">
    <w:p w:rsidR="00354756" w:rsidRDefault="00354756">
      <w:pPr>
        <w:pStyle w:val="a4"/>
      </w:pPr>
      <w:r>
        <w:rPr>
          <w:rStyle w:val="a6"/>
        </w:rPr>
        <w:footnoteRef/>
      </w:r>
      <w:r w:rsidR="00371BE3" w:rsidRPr="001454B4">
        <w:rPr>
          <w:rFonts w:hint="eastAsia"/>
        </w:rPr>
        <w:t>《明儒學案、卷三十七、甘泉學案》頁</w:t>
      </w:r>
      <w:r>
        <w:rPr>
          <w:rFonts w:hint="eastAsia"/>
        </w:rPr>
        <w:t>883</w:t>
      </w:r>
      <w:r>
        <w:rPr>
          <w:rFonts w:hint="eastAsia"/>
        </w:rPr>
        <w:t>。</w:t>
      </w:r>
    </w:p>
  </w:footnote>
  <w:footnote w:id="19">
    <w:p w:rsidR="00354756" w:rsidRDefault="00354756">
      <w:pPr>
        <w:pStyle w:val="a4"/>
      </w:pPr>
      <w:r>
        <w:rPr>
          <w:rStyle w:val="a6"/>
        </w:rPr>
        <w:footnoteRef/>
      </w:r>
      <w:r w:rsidR="00371BE3" w:rsidRPr="001454B4">
        <w:rPr>
          <w:rFonts w:hint="eastAsia"/>
        </w:rPr>
        <w:t>《明儒學案、卷三十七、甘泉學案》頁</w:t>
      </w:r>
      <w:r>
        <w:rPr>
          <w:rFonts w:hint="eastAsia"/>
        </w:rPr>
        <w:t>884</w:t>
      </w:r>
      <w:r>
        <w:rPr>
          <w:rFonts w:hint="eastAsia"/>
        </w:rPr>
        <w:t>。</w:t>
      </w:r>
    </w:p>
  </w:footnote>
  <w:footnote w:id="20">
    <w:p w:rsidR="00354756" w:rsidRDefault="00354756">
      <w:pPr>
        <w:pStyle w:val="a4"/>
      </w:pPr>
      <w:r>
        <w:rPr>
          <w:rStyle w:val="a6"/>
        </w:rPr>
        <w:footnoteRef/>
      </w:r>
      <w:r w:rsidR="00371BE3" w:rsidRPr="001454B4">
        <w:rPr>
          <w:rFonts w:hint="eastAsia"/>
        </w:rPr>
        <w:t>《明儒學案、卷三十七、甘泉學案》頁</w:t>
      </w:r>
      <w:r>
        <w:rPr>
          <w:rFonts w:hint="eastAsia"/>
        </w:rPr>
        <w:t>884</w:t>
      </w:r>
      <w:r>
        <w:rPr>
          <w:rFonts w:hint="eastAsia"/>
        </w:rPr>
        <w:t>。</w:t>
      </w:r>
    </w:p>
  </w:footnote>
  <w:footnote w:id="21">
    <w:p w:rsidR="00354756" w:rsidRDefault="00354756">
      <w:pPr>
        <w:pStyle w:val="a4"/>
      </w:pPr>
      <w:r>
        <w:rPr>
          <w:rStyle w:val="a6"/>
        </w:rPr>
        <w:footnoteRef/>
      </w:r>
      <w:r w:rsidR="00371BE3" w:rsidRPr="001454B4">
        <w:rPr>
          <w:rFonts w:hint="eastAsia"/>
        </w:rPr>
        <w:t>《明儒學案、卷三十七、甘泉學案》頁</w:t>
      </w:r>
      <w:r>
        <w:rPr>
          <w:rFonts w:hint="eastAsia"/>
        </w:rPr>
        <w:t>884</w:t>
      </w:r>
      <w:r>
        <w:rPr>
          <w:rFonts w:hint="eastAsia"/>
        </w:rPr>
        <w:t>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D3855"/>
    <w:multiLevelType w:val="hybridMultilevel"/>
    <w:tmpl w:val="51548A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5A"/>
    <w:rsid w:val="00002F86"/>
    <w:rsid w:val="00023BFE"/>
    <w:rsid w:val="00032E0E"/>
    <w:rsid w:val="00062B05"/>
    <w:rsid w:val="000969A7"/>
    <w:rsid w:val="000B3D49"/>
    <w:rsid w:val="000C126A"/>
    <w:rsid w:val="00111AFF"/>
    <w:rsid w:val="0011632E"/>
    <w:rsid w:val="001179B5"/>
    <w:rsid w:val="00122F03"/>
    <w:rsid w:val="00132FDC"/>
    <w:rsid w:val="00133D50"/>
    <w:rsid w:val="001454B4"/>
    <w:rsid w:val="00163F87"/>
    <w:rsid w:val="00172323"/>
    <w:rsid w:val="001736C9"/>
    <w:rsid w:val="0018409F"/>
    <w:rsid w:val="00191F8B"/>
    <w:rsid w:val="00212CCC"/>
    <w:rsid w:val="0022267D"/>
    <w:rsid w:val="00225886"/>
    <w:rsid w:val="00244A8D"/>
    <w:rsid w:val="002463FF"/>
    <w:rsid w:val="0025071A"/>
    <w:rsid w:val="002579BE"/>
    <w:rsid w:val="00264A3C"/>
    <w:rsid w:val="00282106"/>
    <w:rsid w:val="002B19BD"/>
    <w:rsid w:val="002F4A74"/>
    <w:rsid w:val="003044DF"/>
    <w:rsid w:val="003160C5"/>
    <w:rsid w:val="00336948"/>
    <w:rsid w:val="00342622"/>
    <w:rsid w:val="0035094C"/>
    <w:rsid w:val="00354756"/>
    <w:rsid w:val="00367ED0"/>
    <w:rsid w:val="00371BE3"/>
    <w:rsid w:val="00380A62"/>
    <w:rsid w:val="0038283E"/>
    <w:rsid w:val="00393E00"/>
    <w:rsid w:val="003A071A"/>
    <w:rsid w:val="003A4460"/>
    <w:rsid w:val="003A62EB"/>
    <w:rsid w:val="003B67FA"/>
    <w:rsid w:val="003D2E40"/>
    <w:rsid w:val="003D7577"/>
    <w:rsid w:val="004512EA"/>
    <w:rsid w:val="00464E3C"/>
    <w:rsid w:val="004715C2"/>
    <w:rsid w:val="0048593E"/>
    <w:rsid w:val="004B043D"/>
    <w:rsid w:val="004E71ED"/>
    <w:rsid w:val="00505726"/>
    <w:rsid w:val="0052471A"/>
    <w:rsid w:val="00557386"/>
    <w:rsid w:val="0058602D"/>
    <w:rsid w:val="005F05CF"/>
    <w:rsid w:val="00604869"/>
    <w:rsid w:val="006236AE"/>
    <w:rsid w:val="0063166E"/>
    <w:rsid w:val="00640822"/>
    <w:rsid w:val="00643157"/>
    <w:rsid w:val="00655B77"/>
    <w:rsid w:val="00662258"/>
    <w:rsid w:val="00677F48"/>
    <w:rsid w:val="00690AE0"/>
    <w:rsid w:val="006C6B68"/>
    <w:rsid w:val="006E6BCD"/>
    <w:rsid w:val="006F4D03"/>
    <w:rsid w:val="00704AC3"/>
    <w:rsid w:val="00744FB9"/>
    <w:rsid w:val="00786AB9"/>
    <w:rsid w:val="007A1BE9"/>
    <w:rsid w:val="007D0E79"/>
    <w:rsid w:val="007D70B4"/>
    <w:rsid w:val="007D7594"/>
    <w:rsid w:val="007E5874"/>
    <w:rsid w:val="007F34EA"/>
    <w:rsid w:val="008069EE"/>
    <w:rsid w:val="00835C95"/>
    <w:rsid w:val="008517FD"/>
    <w:rsid w:val="008560FC"/>
    <w:rsid w:val="00865AD8"/>
    <w:rsid w:val="00870301"/>
    <w:rsid w:val="00883560"/>
    <w:rsid w:val="008B49CC"/>
    <w:rsid w:val="00920519"/>
    <w:rsid w:val="00930E24"/>
    <w:rsid w:val="009355CA"/>
    <w:rsid w:val="00935B87"/>
    <w:rsid w:val="00956B36"/>
    <w:rsid w:val="009637FB"/>
    <w:rsid w:val="00965D50"/>
    <w:rsid w:val="00980D1D"/>
    <w:rsid w:val="009A5960"/>
    <w:rsid w:val="009B29EB"/>
    <w:rsid w:val="009C35EB"/>
    <w:rsid w:val="009E5F4B"/>
    <w:rsid w:val="00A97530"/>
    <w:rsid w:val="00AB48F9"/>
    <w:rsid w:val="00AC32A8"/>
    <w:rsid w:val="00AF7D9B"/>
    <w:rsid w:val="00B125F6"/>
    <w:rsid w:val="00B40543"/>
    <w:rsid w:val="00B447E3"/>
    <w:rsid w:val="00B57E9E"/>
    <w:rsid w:val="00B7257B"/>
    <w:rsid w:val="00BB1FBF"/>
    <w:rsid w:val="00BD3B50"/>
    <w:rsid w:val="00BF420D"/>
    <w:rsid w:val="00C04A81"/>
    <w:rsid w:val="00C22A38"/>
    <w:rsid w:val="00C747B8"/>
    <w:rsid w:val="00CD63D4"/>
    <w:rsid w:val="00CF3475"/>
    <w:rsid w:val="00D44377"/>
    <w:rsid w:val="00D732B7"/>
    <w:rsid w:val="00D77C30"/>
    <w:rsid w:val="00DA505A"/>
    <w:rsid w:val="00DC6C0D"/>
    <w:rsid w:val="00DE2255"/>
    <w:rsid w:val="00DE24A1"/>
    <w:rsid w:val="00DF2C59"/>
    <w:rsid w:val="00E036CE"/>
    <w:rsid w:val="00E10CC4"/>
    <w:rsid w:val="00E10E45"/>
    <w:rsid w:val="00E54054"/>
    <w:rsid w:val="00E75213"/>
    <w:rsid w:val="00E9168D"/>
    <w:rsid w:val="00EA0B12"/>
    <w:rsid w:val="00EA1508"/>
    <w:rsid w:val="00EB1EB1"/>
    <w:rsid w:val="00EB6672"/>
    <w:rsid w:val="00EB763D"/>
    <w:rsid w:val="00EB78E2"/>
    <w:rsid w:val="00ED2982"/>
    <w:rsid w:val="00F20079"/>
    <w:rsid w:val="00F24948"/>
    <w:rsid w:val="00F774B1"/>
    <w:rsid w:val="00F77D62"/>
    <w:rsid w:val="00F86811"/>
    <w:rsid w:val="00F93BD5"/>
    <w:rsid w:val="00F97E60"/>
    <w:rsid w:val="00FC5B6B"/>
    <w:rsid w:val="00FD29CB"/>
    <w:rsid w:val="00FE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5897F0-4CBE-4E0B-9C41-6371CC98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0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05A"/>
    <w:pPr>
      <w:ind w:leftChars="200" w:left="480"/>
    </w:pPr>
  </w:style>
  <w:style w:type="paragraph" w:styleId="a4">
    <w:name w:val="footnote text"/>
    <w:basedOn w:val="a"/>
    <w:link w:val="a5"/>
    <w:uiPriority w:val="99"/>
    <w:semiHidden/>
    <w:unhideWhenUsed/>
    <w:rsid w:val="00930E24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0"/>
    <w:link w:val="a4"/>
    <w:uiPriority w:val="99"/>
    <w:semiHidden/>
    <w:rsid w:val="00930E2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0E24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956B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56B3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56B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56B3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D979F-8DB9-40B3-80EA-A5CB7B8EC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5254</Words>
  <Characters>5255</Characters>
  <Application>Microsoft Office Word</Application>
  <DocSecurity>0</DocSecurity>
  <Lines>218</Lines>
  <Paragraphs>67</Paragraphs>
  <ScaleCrop>false</ScaleCrop>
  <Company/>
  <LinksUpToDate>false</LinksUpToDate>
  <CharactersWithSpaces>10442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杜保瑞</cp:lastModifiedBy>
  <cp:revision>2</cp:revision>
  <dcterms:created xsi:type="dcterms:W3CDTF">2015-11-01T13:32:00Z</dcterms:created>
  <dcterms:modified xsi:type="dcterms:W3CDTF">2015-11-01T13:32:00Z</dcterms:modified>
</cp:coreProperties>
</file>