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DC" w:rsidRDefault="008161F7" w:rsidP="00DB732A">
      <w:pPr>
        <w:pStyle w:val="2"/>
      </w:pPr>
      <w:bookmarkStart w:id="0" w:name="_GoBack"/>
      <w:bookmarkEnd w:id="0"/>
      <w:r>
        <w:rPr>
          <w:rFonts w:hint="eastAsia"/>
        </w:rPr>
        <w:t>對</w:t>
      </w:r>
      <w:r w:rsidR="005F61DC">
        <w:rPr>
          <w:rFonts w:hint="eastAsia"/>
        </w:rPr>
        <w:t>牟宗三</w:t>
      </w:r>
      <w:r>
        <w:rPr>
          <w:rFonts w:hint="eastAsia"/>
        </w:rPr>
        <w:t>詮釋</w:t>
      </w:r>
      <w:r w:rsidR="005F61DC">
        <w:rPr>
          <w:rFonts w:hint="eastAsia"/>
        </w:rPr>
        <w:t>王陽明哲學的方法論反省</w:t>
      </w:r>
    </w:p>
    <w:p w:rsidR="005F61DC" w:rsidRDefault="005F61DC" w:rsidP="00E0744F">
      <w:pPr>
        <w:jc w:val="center"/>
      </w:pPr>
    </w:p>
    <w:p w:rsidR="0021718B" w:rsidRDefault="0021718B" w:rsidP="00E0744F">
      <w:pPr>
        <w:jc w:val="center"/>
      </w:pPr>
    </w:p>
    <w:p w:rsidR="0021718B" w:rsidRDefault="0021718B" w:rsidP="00E0744F">
      <w:pPr>
        <w:jc w:val="center"/>
      </w:pPr>
    </w:p>
    <w:p w:rsidR="005F61DC" w:rsidRDefault="005F61DC" w:rsidP="00A67E84">
      <w:pPr>
        <w:pStyle w:val="ad"/>
        <w:jc w:val="right"/>
      </w:pPr>
      <w:r>
        <w:rPr>
          <w:rFonts w:hint="eastAsia"/>
        </w:rPr>
        <w:t>台灣大學哲學系副教授杜保瑞</w:t>
      </w:r>
    </w:p>
    <w:p w:rsidR="005F61DC" w:rsidRDefault="005F61DC" w:rsidP="00E0744F">
      <w:pPr>
        <w:jc w:val="right"/>
      </w:pPr>
    </w:p>
    <w:p w:rsidR="005F61DC" w:rsidRDefault="005F61DC" w:rsidP="002922A7">
      <w:pPr>
        <w:pStyle w:val="a3"/>
        <w:numPr>
          <w:ilvl w:val="0"/>
          <w:numId w:val="1"/>
        </w:numPr>
        <w:ind w:leftChars="0"/>
      </w:pPr>
      <w:r>
        <w:rPr>
          <w:rFonts w:hint="eastAsia"/>
        </w:rPr>
        <w:t>前言：</w:t>
      </w:r>
    </w:p>
    <w:p w:rsidR="005F61DC" w:rsidRDefault="005F61DC" w:rsidP="008721A5">
      <w:pPr>
        <w:pStyle w:val="a3"/>
        <w:ind w:leftChars="0" w:left="450"/>
      </w:pPr>
    </w:p>
    <w:p w:rsidR="005F61DC" w:rsidRDefault="005F61DC" w:rsidP="00FF4B9F">
      <w:pPr>
        <w:ind w:firstLineChars="200" w:firstLine="480"/>
      </w:pPr>
      <w:r>
        <w:rPr>
          <w:rFonts w:hint="eastAsia"/>
        </w:rPr>
        <w:t>本文討論牟宗三先生《心體與性體》中的王陽明哲學，針對牟先生所提出的良知是本體一說，以及良知的坎</w:t>
      </w:r>
      <w:r w:rsidR="00A67E84">
        <w:rPr>
          <w:rFonts w:hint="eastAsia"/>
        </w:rPr>
        <w:t>陷</w:t>
      </w:r>
      <w:r>
        <w:rPr>
          <w:rFonts w:hint="eastAsia"/>
        </w:rPr>
        <w:t>以為知識之了別說，以及事物之知之為心外之物說等等，討論牟先生所設定的程朱</w:t>
      </w:r>
      <w:r w:rsidR="00A67E84">
        <w:rPr>
          <w:rFonts w:hint="eastAsia"/>
        </w:rPr>
        <w:t>、</w:t>
      </w:r>
      <w:r>
        <w:rPr>
          <w:rFonts w:hint="eastAsia"/>
        </w:rPr>
        <w:t>陸王哲學之區別之必要性。筆者的立場是，牟先生嚴分程朱、陸王兩學，卻在對王陽明的哲學詮釋一章中出現了接近朱熹學的意旨，而筆者即將在本文之討論中指出，牟先生為陽明強調的理論特色部份，實在就是一套工夫論意旨，</w:t>
      </w:r>
      <w:r w:rsidR="00C16991">
        <w:rPr>
          <w:rFonts w:hint="eastAsia"/>
        </w:rPr>
        <w:t>但在牟先生的詮釋中卻將之上升為一套強勢的形上學系統，並以此一系統，</w:t>
      </w:r>
      <w:r w:rsidR="00653E0B">
        <w:rPr>
          <w:rFonts w:hint="eastAsia"/>
        </w:rPr>
        <w:t>嚴</w:t>
      </w:r>
      <w:r w:rsidR="00C16991">
        <w:rPr>
          <w:rFonts w:hint="eastAsia"/>
        </w:rPr>
        <w:t>分朱王，而致生許多對朱熹詮釋的語言暴力。在其討論陽明學的</w:t>
      </w:r>
      <w:r>
        <w:rPr>
          <w:rFonts w:hint="eastAsia"/>
        </w:rPr>
        <w:t>致知問題中，牟先生</w:t>
      </w:r>
      <w:r w:rsidR="00425099">
        <w:rPr>
          <w:rFonts w:hint="eastAsia"/>
        </w:rPr>
        <w:t>為顧及客觀認識的需要，竟自創地提出良知坎陷之說，以</w:t>
      </w:r>
      <w:r>
        <w:rPr>
          <w:rFonts w:hint="eastAsia"/>
        </w:rPr>
        <w:t>良知坎陷</w:t>
      </w:r>
      <w:r w:rsidR="00425099">
        <w:rPr>
          <w:rFonts w:hint="eastAsia"/>
        </w:rPr>
        <w:t>後之了別心來</w:t>
      </w:r>
      <w:r>
        <w:rPr>
          <w:rFonts w:hint="eastAsia"/>
        </w:rPr>
        <w:t>為外物之知，但也就因此，貼近了朱熹之理論，而實不必如此嚴</w:t>
      </w:r>
      <w:r w:rsidR="00425099">
        <w:rPr>
          <w:rFonts w:hint="eastAsia"/>
        </w:rPr>
        <w:t>分</w:t>
      </w:r>
      <w:r>
        <w:rPr>
          <w:rFonts w:hint="eastAsia"/>
        </w:rPr>
        <w:t>朱王了。</w:t>
      </w:r>
    </w:p>
    <w:p w:rsidR="005F61DC" w:rsidRPr="00425099" w:rsidRDefault="005F61DC" w:rsidP="00DB732A">
      <w:pPr>
        <w:pStyle w:val="a3"/>
        <w:ind w:leftChars="0" w:left="450"/>
      </w:pPr>
    </w:p>
    <w:p w:rsidR="005F61DC" w:rsidRDefault="005F61DC" w:rsidP="00425099">
      <w:pPr>
        <w:ind w:firstLineChars="200" w:firstLine="480"/>
      </w:pPr>
      <w:r>
        <w:rPr>
          <w:rFonts w:hint="eastAsia"/>
        </w:rPr>
        <w:t>牟先生談陽明學，開頭即主張陽明學是孟子學，其言：「其學之義理系統客觀地說乃屬於孟子學者亦無疑」</w:t>
      </w:r>
      <w:r>
        <w:rPr>
          <w:rStyle w:val="a6"/>
        </w:rPr>
        <w:footnoteReference w:id="1"/>
      </w:r>
      <w:r>
        <w:rPr>
          <w:rFonts w:hint="eastAsia"/>
        </w:rPr>
        <w:t>說陽明學是孟子學，筆者沒有疑義</w:t>
      </w:r>
      <w:r w:rsidR="00A67E84">
        <w:rPr>
          <w:rFonts w:hint="eastAsia"/>
        </w:rPr>
        <w:t>。</w:t>
      </w:r>
      <w:r>
        <w:rPr>
          <w:rFonts w:hint="eastAsia"/>
        </w:rPr>
        <w:t>但牟先生此說卻是以程朱之學乃孔孟之歧出為背景而說的，對這一部分筆者才有不同意見。</w:t>
      </w:r>
      <w:r w:rsidR="00A67E84">
        <w:rPr>
          <w:rFonts w:hint="eastAsia"/>
        </w:rPr>
        <w:t>牟先生</w:t>
      </w:r>
      <w:r>
        <w:rPr>
          <w:rFonts w:hint="eastAsia"/>
        </w:rPr>
        <w:t>依著陽明學是孟子學的定位，</w:t>
      </w:r>
      <w:r w:rsidR="00A67E84">
        <w:rPr>
          <w:rFonts w:hint="eastAsia"/>
        </w:rPr>
        <w:t>又以</w:t>
      </w:r>
      <w:r>
        <w:rPr>
          <w:rFonts w:hint="eastAsia"/>
        </w:rPr>
        <w:t>孔孟之學</w:t>
      </w:r>
      <w:r w:rsidR="00A67E84">
        <w:rPr>
          <w:rFonts w:hint="eastAsia"/>
        </w:rPr>
        <w:t>而</w:t>
      </w:r>
      <w:r>
        <w:rPr>
          <w:rFonts w:hint="eastAsia"/>
        </w:rPr>
        <w:t>發展</w:t>
      </w:r>
      <w:r w:rsidR="00A67E84">
        <w:rPr>
          <w:rFonts w:hint="eastAsia"/>
        </w:rPr>
        <w:t>出</w:t>
      </w:r>
      <w:r>
        <w:rPr>
          <w:rFonts w:hint="eastAsia"/>
        </w:rPr>
        <w:t>《中庸》、《易傳》之學，</w:t>
      </w:r>
      <w:r w:rsidR="00A67E84">
        <w:rPr>
          <w:rFonts w:hint="eastAsia"/>
        </w:rPr>
        <w:t>故主張</w:t>
      </w:r>
      <w:r>
        <w:rPr>
          <w:rFonts w:hint="eastAsia"/>
        </w:rPr>
        <w:t>儒學在《中庸》、《易傳》之處已完成了道德的形上學的圓教系統</w:t>
      </w:r>
      <w:r w:rsidR="00A67E84">
        <w:rPr>
          <w:rFonts w:hint="eastAsia"/>
        </w:rPr>
        <w:t>。</w:t>
      </w:r>
      <w:r>
        <w:rPr>
          <w:rFonts w:hint="eastAsia"/>
        </w:rPr>
        <w:t>因此，</w:t>
      </w:r>
      <w:r w:rsidR="00A67E84">
        <w:rPr>
          <w:rFonts w:hint="eastAsia"/>
        </w:rPr>
        <w:t>當牟先生</w:t>
      </w:r>
      <w:r>
        <w:rPr>
          <w:rFonts w:hint="eastAsia"/>
        </w:rPr>
        <w:t>以陽明</w:t>
      </w:r>
      <w:r w:rsidR="00A67E84">
        <w:rPr>
          <w:rFonts w:hint="eastAsia"/>
        </w:rPr>
        <w:t>學</w:t>
      </w:r>
      <w:r>
        <w:rPr>
          <w:rFonts w:hint="eastAsia"/>
        </w:rPr>
        <w:t>是孟子學的</w:t>
      </w:r>
      <w:r w:rsidR="00A67E84">
        <w:rPr>
          <w:rFonts w:hint="eastAsia"/>
        </w:rPr>
        <w:t>時候</w:t>
      </w:r>
      <w:r>
        <w:rPr>
          <w:rFonts w:hint="eastAsia"/>
        </w:rPr>
        <w:t>，牟先生討論</w:t>
      </w:r>
      <w:r w:rsidR="00FF4B9F">
        <w:rPr>
          <w:rFonts w:hint="eastAsia"/>
        </w:rPr>
        <w:t>的</w:t>
      </w:r>
      <w:r>
        <w:rPr>
          <w:rFonts w:hint="eastAsia"/>
        </w:rPr>
        <w:t>陽明學時差不多都是朝向一道德的形上學系統在說的，亦即是以形上學的進路在談陽明學的。以形上學進路談陽明學並無不可，但是陽明學的特色在於工夫論而非形上學，當然陽明亦有形上學立場及形上學型態之命題的提出，問題是，陽明眾多的工夫論命題，在牟先生的解讀中，卻幾乎都將之攝入道德的形上學問題裏談，這樣的結果，就導致一方面牟先生不能有效區分工夫論與形上學，二方面又將不同的工夫論型態的程朱學詮釋為不同的形上學型</w:t>
      </w:r>
      <w:r w:rsidR="00FF4B9F">
        <w:rPr>
          <w:rFonts w:hint="eastAsia"/>
        </w:rPr>
        <w:t>態</w:t>
      </w:r>
      <w:r>
        <w:rPr>
          <w:rFonts w:hint="eastAsia"/>
        </w:rPr>
        <w:t>。然而，程朱所言之工夫論議題，原本確有其理論的必要性，</w:t>
      </w:r>
      <w:r w:rsidR="00FF4B9F">
        <w:rPr>
          <w:rFonts w:hint="eastAsia"/>
        </w:rPr>
        <w:t>即其先知後行之重知的一部分，這一部分卻</w:t>
      </w:r>
      <w:r>
        <w:rPr>
          <w:rFonts w:hint="eastAsia"/>
        </w:rPr>
        <w:t>在牟先生討論陽明學時，不得不予以收攝。關鍵即在，程朱講工夫次第的格物致知之學，</w:t>
      </w:r>
      <w:r w:rsidR="00FF4B9F">
        <w:rPr>
          <w:rFonts w:hint="eastAsia"/>
        </w:rPr>
        <w:t>原是一先知後行</w:t>
      </w:r>
      <w:r w:rsidR="00FF4B9F">
        <w:rPr>
          <w:rFonts w:hint="eastAsia"/>
        </w:rPr>
        <w:lastRenderedPageBreak/>
        <w:t>重知於行的系統，</w:t>
      </w:r>
      <w:r>
        <w:rPr>
          <w:rFonts w:hint="eastAsia"/>
        </w:rPr>
        <w:t>被牟先生以良知的坎陷說</w:t>
      </w:r>
      <w:r w:rsidR="00FF4B9F">
        <w:rPr>
          <w:rFonts w:hint="eastAsia"/>
        </w:rPr>
        <w:t>所</w:t>
      </w:r>
      <w:r>
        <w:rPr>
          <w:rFonts w:hint="eastAsia"/>
        </w:rPr>
        <w:t>提出</w:t>
      </w:r>
      <w:r w:rsidR="00FF4B9F">
        <w:rPr>
          <w:rFonts w:hint="eastAsia"/>
        </w:rPr>
        <w:t>的</w:t>
      </w:r>
      <w:r>
        <w:rPr>
          <w:rFonts w:hint="eastAsia"/>
        </w:rPr>
        <w:t>了別心以認識之並運用之，如此</w:t>
      </w:r>
      <w:r w:rsidR="00FF4B9F">
        <w:rPr>
          <w:rFonts w:hint="eastAsia"/>
        </w:rPr>
        <w:t>一來便成為牟先生</w:t>
      </w:r>
      <w:r>
        <w:rPr>
          <w:rFonts w:hint="eastAsia"/>
        </w:rPr>
        <w:t>在自己的系統中給</w:t>
      </w:r>
      <w:r w:rsidR="00FF4B9F">
        <w:rPr>
          <w:rFonts w:hint="eastAsia"/>
        </w:rPr>
        <w:t>了</w:t>
      </w:r>
      <w:r>
        <w:rPr>
          <w:rFonts w:hint="eastAsia"/>
        </w:rPr>
        <w:t>程朱學必要的理論地位，於是前此之用力區分別異的程朱學，根本就又回到了牟先生自己的系統裡了。</w:t>
      </w:r>
      <w:r w:rsidR="00FF4B9F">
        <w:rPr>
          <w:rFonts w:hint="eastAsia"/>
        </w:rPr>
        <w:t>但是，雖然牟先生吸收了程朱學的重知部分，卻始終不肯回頭承認程朱學的功能，亦仍不放鬆程朱、陸王之別，以致更加無理地對程朱之學施予更粗暴的詮釋。</w:t>
      </w:r>
    </w:p>
    <w:p w:rsidR="005F61DC" w:rsidRDefault="005F61DC" w:rsidP="002922A7"/>
    <w:p w:rsidR="005F61DC" w:rsidRDefault="005F61DC" w:rsidP="00FD63E2">
      <w:pPr>
        <w:ind w:firstLineChars="200" w:firstLine="480"/>
      </w:pPr>
      <w:r>
        <w:rPr>
          <w:rFonts w:hint="eastAsia"/>
        </w:rPr>
        <w:t>以下的討論，將順著牟先生的著作次序逐一檢視他的思路以進行理論反省。</w:t>
      </w:r>
    </w:p>
    <w:p w:rsidR="005F61DC" w:rsidRDefault="005F61DC" w:rsidP="002922A7"/>
    <w:p w:rsidR="00FD63E2" w:rsidRDefault="00FD63E2" w:rsidP="002922A7">
      <w:r>
        <w:rPr>
          <w:rFonts w:hint="eastAsia"/>
        </w:rPr>
        <w:t>二、</w:t>
      </w:r>
      <w:r w:rsidR="00E467EA">
        <w:rPr>
          <w:rFonts w:hint="eastAsia"/>
        </w:rPr>
        <w:t>牟宗三說</w:t>
      </w:r>
      <w:r>
        <w:rPr>
          <w:rFonts w:hint="eastAsia"/>
        </w:rPr>
        <w:t>陽明學是孟子學</w:t>
      </w:r>
    </w:p>
    <w:p w:rsidR="00FD63E2" w:rsidRPr="00FD63E2" w:rsidRDefault="00FD63E2" w:rsidP="002922A7"/>
    <w:p w:rsidR="005F61DC" w:rsidRDefault="005F61DC" w:rsidP="00F41DF6">
      <w:pPr>
        <w:pStyle w:val="af1"/>
        <w:ind w:leftChars="295" w:left="708"/>
        <w:rPr>
          <w:rFonts w:ascii="標楷體" w:eastAsia="標楷體" w:hAnsi="標楷體"/>
          <w:i w:val="0"/>
        </w:rPr>
      </w:pPr>
      <w:r w:rsidRPr="007B439E">
        <w:rPr>
          <w:rFonts w:ascii="標楷體" w:eastAsia="標楷體" w:hAnsi="標楷體" w:hint="eastAsia"/>
          <w:i w:val="0"/>
        </w:rPr>
        <w:t>孟子言性善───其正面之進路唯在「仁義內在」。───乃是此心即是仁義之心，仁義即是此心之自發。如果把仁義視為理，例如說道德法則，則此理即是此心之所自發，此即象山陽明所說之「心即理」。「心即理」不是心合理，乃是心就是理；───此心就是孟子所謂「本心」。───此所謂本心顯然不是心理學的心，乃是超越的本然的道德心。</w:t>
      </w:r>
      <w:r>
        <w:rPr>
          <w:rStyle w:val="a6"/>
        </w:rPr>
        <w:footnoteReference w:id="2"/>
      </w:r>
    </w:p>
    <w:p w:rsidR="005F61DC" w:rsidRPr="008721A5" w:rsidRDefault="005F61DC" w:rsidP="008721A5"/>
    <w:p w:rsidR="005F61DC" w:rsidRDefault="005F61DC" w:rsidP="00F41DF6">
      <w:pPr>
        <w:pStyle w:val="af1"/>
        <w:ind w:leftChars="295" w:left="708" w:firstLine="1"/>
        <w:rPr>
          <w:rFonts w:ascii="標楷體" w:eastAsia="標楷體" w:hAnsi="標楷體"/>
          <w:i w:val="0"/>
        </w:rPr>
      </w:pPr>
      <w:r w:rsidRPr="007B439E">
        <w:rPr>
          <w:rFonts w:ascii="標楷體" w:eastAsia="標楷體" w:hAnsi="標楷體" w:hint="eastAsia"/>
          <w:i w:val="0"/>
        </w:rPr>
        <w:t>───陽明即依此義而把良知提升上來以之代表本心，以之綜括孟子所言的四端之心。───天理就是良知之自然明覺之所呈現，明覺之即呈現之，───意即「天理之自然地而非造作地，昭昭明明而即在本心靈覺中之具體地而非抽象地呈現」。───</w:t>
      </w:r>
      <w:r w:rsidRPr="00D246B6">
        <w:rPr>
          <w:rFonts w:ascii="標楷體" w:eastAsia="標楷體" w:hAnsi="標楷體" w:hint="eastAsia"/>
          <w:i w:val="0"/>
          <w:highlight w:val="yellow"/>
          <w:u w:val="single"/>
        </w:rPr>
        <w:t>故凡陽明言明覺皆是內斂地主宰貫徹地言其存有論的意義，而非外指地及物地言其認知的意義。───它是存有論地呈現之，而不是橫列地認知之。而就此決定活動本身說，它是活動，它同時亦即是存有。良知是即活動即存有的。</w:t>
      </w:r>
      <w:r w:rsidRPr="007B439E">
        <w:rPr>
          <w:rFonts w:ascii="標楷體" w:eastAsia="標楷體" w:hAnsi="標楷體" w:hint="eastAsia"/>
          <w:i w:val="0"/>
        </w:rPr>
        <w:t>───良知是天理之自然而明覺處，則天理雖客觀而亦主觀，天理是良知之必然而不可移處，則良知雖主觀而亦客觀。此即是「心即理」，「心外無理」，「良知之天理」諸語之實義。</w:t>
      </w:r>
      <w:r>
        <w:rPr>
          <w:rStyle w:val="a6"/>
        </w:rPr>
        <w:footnoteReference w:id="3"/>
      </w:r>
    </w:p>
    <w:p w:rsidR="005F61DC" w:rsidRPr="008721A5" w:rsidRDefault="005F61DC" w:rsidP="008721A5"/>
    <w:p w:rsidR="00E467EA" w:rsidRDefault="00E467EA" w:rsidP="002922A7">
      <w:r>
        <w:rPr>
          <w:rFonts w:hint="eastAsia"/>
        </w:rPr>
        <w:t>三、牟宗三從良知概念說的圓教形上學</w:t>
      </w:r>
    </w:p>
    <w:p w:rsidR="00E467EA" w:rsidRDefault="00E467EA" w:rsidP="002922A7"/>
    <w:p w:rsidR="005F61DC" w:rsidRDefault="005F61DC" w:rsidP="00F41DF6">
      <w:pPr>
        <w:ind w:leftChars="295" w:left="708"/>
        <w:rPr>
          <w:rFonts w:ascii="標楷體" w:eastAsia="標楷體" w:hAnsi="標楷體"/>
        </w:rPr>
      </w:pPr>
      <w:r w:rsidRPr="002F3A1D">
        <w:rPr>
          <w:rFonts w:ascii="標楷體" w:eastAsia="標楷體" w:hAnsi="標楷體" w:hint="eastAsia"/>
          <w:highlight w:val="yellow"/>
          <w:u w:val="single"/>
        </w:rPr>
        <w:t>良知感應無外，必與天地萬物全體相感應。此即含著良知之絕對普遍性。心外無理，心外無物。此即佛家所謂圓教。必如此，方能圓滿。由此，良知不但是道德實踐之根據，而且亦是一切存在之存有論的根據。由此，良知亦有其形而上的實體之意義。</w:t>
      </w:r>
      <w:r w:rsidRPr="002F3A1D">
        <w:rPr>
          <w:rFonts w:ascii="標楷體" w:eastAsia="標楷體" w:hAnsi="標楷體" w:hint="eastAsia"/>
          <w:highlight w:val="green"/>
          <w:u w:val="single"/>
        </w:rPr>
        <w:t>在此，吾人說「道德的形上學」。這不是西方哲學傳統中客觀分解的以及觀解的形上學，乃是實踐的形上學，亦可曰圓教下的實踐形上學，───道德實踐中良知感應所及之物與存有論的存在之物兩者之間並無距離。</w:t>
      </w:r>
      <w:r w:rsidRPr="00DF6FE6">
        <w:rPr>
          <w:rFonts w:ascii="標楷體" w:eastAsia="標楷體" w:hAnsi="標楷體" w:hint="eastAsia"/>
        </w:rPr>
        <w:t>當然如果我們</w:t>
      </w:r>
      <w:r w:rsidRPr="002F3A1D">
        <w:rPr>
          <w:rFonts w:ascii="標楷體" w:eastAsia="標楷體" w:hAnsi="標楷體" w:hint="eastAsia"/>
          <w:highlight w:val="cyan"/>
          <w:u w:val="single"/>
        </w:rPr>
        <w:t>割離道德實踐而單客觀地看存</w:t>
      </w:r>
      <w:r w:rsidRPr="002F3A1D">
        <w:rPr>
          <w:rFonts w:ascii="標楷體" w:eastAsia="標楷體" w:hAnsi="標楷體" w:hint="eastAsia"/>
          <w:highlight w:val="cyan"/>
          <w:u w:val="single"/>
        </w:rPr>
        <w:lastRenderedPageBreak/>
        <w:t>在之物，自可講出一套存有論，而不必能說它是道德的形上學。但這樣割離地客觀地看存在之物不是儒家之所注意，而且即使這樣講出一套存有論，亦不是究竟的。儒家可以把它看成是知解層上的觀解形上學，此則是沒有定準的，由康德的批判即可知。</w:t>
      </w:r>
      <w:r w:rsidRPr="00DF6FE6">
        <w:rPr>
          <w:rFonts w:ascii="標楷體" w:eastAsia="標楷體" w:hAnsi="標楷體" w:hint="eastAsia"/>
        </w:rPr>
        <w:t>因此，說到究竟，只有這麼一個圓教下的實踐的形上學，此則乃是必然的。</w:t>
      </w:r>
      <w:r>
        <w:rPr>
          <w:rStyle w:val="a6"/>
        </w:rPr>
        <w:footnoteReference w:id="4"/>
      </w:r>
    </w:p>
    <w:p w:rsidR="005F61DC" w:rsidRPr="008721A5" w:rsidRDefault="005F61DC" w:rsidP="002922A7"/>
    <w:p w:rsidR="00E467EA" w:rsidRDefault="00E467EA" w:rsidP="00E467EA">
      <w:r>
        <w:rPr>
          <w:rFonts w:hint="eastAsia"/>
        </w:rPr>
        <w:t>四、牟宗三從聖人境界說的圓教形上學</w:t>
      </w:r>
    </w:p>
    <w:p w:rsidR="0062692D" w:rsidRPr="00E467EA" w:rsidRDefault="0062692D" w:rsidP="00D34471">
      <w:pPr>
        <w:ind w:firstLineChars="200" w:firstLine="480"/>
      </w:pPr>
    </w:p>
    <w:p w:rsidR="005F61DC" w:rsidRPr="0047279C" w:rsidRDefault="005F61DC" w:rsidP="00F41DF6">
      <w:pPr>
        <w:ind w:leftChars="295" w:left="708"/>
        <w:rPr>
          <w:rFonts w:ascii="標楷體" w:eastAsia="標楷體" w:hAnsi="標楷體"/>
        </w:rPr>
      </w:pPr>
      <w:r w:rsidRPr="009D51F9">
        <w:rPr>
          <w:rFonts w:ascii="標楷體" w:eastAsia="標楷體" w:hAnsi="標楷體" w:hint="eastAsia"/>
        </w:rPr>
        <w:t>陽明從良知</w:t>
      </w:r>
      <w:r w:rsidRPr="009D51F9">
        <w:rPr>
          <w:rFonts w:ascii="標楷體" w:eastAsia="標楷體" w:hAnsi="標楷體"/>
        </w:rPr>
        <w:t>(</w:t>
      </w:r>
      <w:r w:rsidRPr="009D51F9">
        <w:rPr>
          <w:rFonts w:ascii="標楷體" w:eastAsia="標楷體" w:hAnsi="標楷體" w:hint="eastAsia"/>
        </w:rPr>
        <w:t>明覺</w:t>
      </w:r>
      <w:r w:rsidRPr="009D51F9">
        <w:rPr>
          <w:rFonts w:ascii="標楷體" w:eastAsia="標楷體" w:hAnsi="標楷體"/>
        </w:rPr>
        <w:t>)</w:t>
      </w:r>
      <w:r w:rsidRPr="009D51F9">
        <w:rPr>
          <w:rFonts w:ascii="標楷體" w:eastAsia="標楷體" w:hAnsi="標楷體" w:hint="eastAsia"/>
        </w:rPr>
        <w:t>之感應說萬物一體，與明道從人心之感通說萬物一體完全相同，這是儒家所共同承認的，</w:t>
      </w:r>
      <w:r w:rsidR="007A1DB5">
        <w:rPr>
          <w:rFonts w:ascii="標楷體" w:eastAsia="標楷體" w:hAnsi="標楷體" w:hint="eastAsia"/>
        </w:rPr>
        <w:t>無</w:t>
      </w:r>
      <w:r w:rsidRPr="009D51F9">
        <w:rPr>
          <w:rFonts w:ascii="標楷體" w:eastAsia="標楷體" w:hAnsi="標楷體" w:hint="eastAsia"/>
        </w:rPr>
        <w:t>人能有異議。</w:t>
      </w:r>
      <w:r w:rsidRPr="002F3A1D">
        <w:rPr>
          <w:rFonts w:ascii="標楷體" w:eastAsia="標楷體" w:hAnsi="標楷體" w:hint="eastAsia"/>
          <w:highlight w:val="yellow"/>
          <w:u w:val="single"/>
        </w:rPr>
        <w:t>從明覺感應說物，這個「物」同時是道德實踐的，同時也是存有論的，兩者間並無距離。</w:t>
      </w:r>
      <w:r w:rsidRPr="009D51F9">
        <w:rPr>
          <w:rFonts w:ascii="標楷體" w:eastAsia="標楷體" w:hAnsi="標楷體" w:hint="eastAsia"/>
        </w:rPr>
        <w:t>───</w:t>
      </w:r>
      <w:r w:rsidRPr="002F3A1D">
        <w:rPr>
          <w:rFonts w:ascii="標楷體" w:eastAsia="標楷體" w:hAnsi="標楷體" w:hint="eastAsia"/>
          <w:highlight w:val="cyan"/>
          <w:u w:val="single"/>
        </w:rPr>
        <w:t>我們不能從原則上給它劃一個界線，其極必是以天地萬物為一體。這個「一體」同時是道德實踐的，同時也是存有論的──圓教下的存有論的。</w:t>
      </w:r>
      <w:r w:rsidRPr="002F3A1D">
        <w:rPr>
          <w:rFonts w:ascii="標楷體" w:eastAsia="標楷體" w:hAnsi="標楷體" w:hint="eastAsia"/>
          <w:highlight w:val="green"/>
          <w:u w:val="single"/>
        </w:rPr>
        <w:t>聖人或大人與天地合德，與日月合明，與鬼神合吉凶，乃必然如此。</w:t>
      </w:r>
      <w:r>
        <w:rPr>
          <w:rFonts w:ascii="標楷體" w:eastAsia="標楷體" w:hAnsi="標楷體" w:hint="eastAsia"/>
        </w:rPr>
        <w:t>「感應」或「感通」不是感性中之接受或被影響，亦不是心理學中的刺激與反應。實乃是即寂即感，神感神應之超越的、創生的、如如實現之的感應，這必是康德所說的人類所不能有的「智的直覺」之感應。</w:t>
      </w:r>
      <w:r>
        <w:rPr>
          <w:rStyle w:val="a6"/>
        </w:rPr>
        <w:footnoteReference w:id="5"/>
      </w:r>
    </w:p>
    <w:p w:rsidR="005F61DC" w:rsidRPr="0048016F" w:rsidRDefault="005F61DC" w:rsidP="003F04D4">
      <w:pPr>
        <w:rPr>
          <w:rFonts w:ascii="標楷體" w:eastAsia="標楷體" w:hAnsi="標楷體"/>
        </w:rPr>
      </w:pPr>
    </w:p>
    <w:p w:rsidR="005F61DC" w:rsidRDefault="00E467EA" w:rsidP="00593B54">
      <w:r>
        <w:rPr>
          <w:rFonts w:hint="eastAsia"/>
        </w:rPr>
        <w:t>五、王陽明的形上學</w:t>
      </w:r>
      <w:r w:rsidR="004079CC">
        <w:rPr>
          <w:rFonts w:hint="eastAsia"/>
        </w:rPr>
        <w:t>論旨</w:t>
      </w:r>
    </w:p>
    <w:p w:rsidR="00E467EA" w:rsidRPr="004079CC" w:rsidRDefault="00E467EA" w:rsidP="00593B54"/>
    <w:p w:rsidR="005F61DC" w:rsidRPr="002F3A1D" w:rsidRDefault="005F61DC" w:rsidP="00AD04EB">
      <w:pPr>
        <w:ind w:leftChars="295" w:left="708"/>
        <w:rPr>
          <w:rFonts w:ascii="標楷體" w:eastAsia="標楷體" w:hAnsi="標楷體"/>
          <w:color w:val="FF0000"/>
        </w:rPr>
      </w:pPr>
      <w:r w:rsidRPr="002F3A1D">
        <w:rPr>
          <w:rFonts w:ascii="標楷體" w:eastAsia="標楷體" w:hAnsi="標楷體" w:hint="eastAsia"/>
          <w:color w:val="FF0000"/>
        </w:rPr>
        <w:t>我的靈明，便是天、地、鬼、神的主宰。天沒有我的靈明，誰去仰他高？地沒有我的靈明，誰去俯他深？鬼、神沒有我的靈明，誰去辨他吉、凶、災、祥？天、地、鬼、神、萬物，離卻我的靈明，便沒有天、地、鬼、神、萬物了；我的靈明，離卻天、地、鬼、神、萬物，亦沒有我的靈明。如此，便是一氣流通的，如何與他間隔得？</w:t>
      </w:r>
    </w:p>
    <w:p w:rsidR="005F61DC" w:rsidRPr="002F3A1D" w:rsidRDefault="005F61DC" w:rsidP="00AD04EB">
      <w:pPr>
        <w:ind w:leftChars="295" w:left="708"/>
        <w:rPr>
          <w:rFonts w:ascii="標楷體" w:eastAsia="標楷體" w:hAnsi="標楷體"/>
          <w:color w:val="FF0000"/>
        </w:rPr>
      </w:pPr>
    </w:p>
    <w:p w:rsidR="005F61DC" w:rsidRPr="002F3A1D" w:rsidRDefault="005F61DC" w:rsidP="00AD04EB">
      <w:pPr>
        <w:ind w:leftChars="295" w:left="708"/>
        <w:rPr>
          <w:rFonts w:ascii="標楷體" w:eastAsia="標楷體" w:hAnsi="標楷體"/>
          <w:color w:val="FF0000"/>
        </w:rPr>
      </w:pPr>
      <w:r w:rsidRPr="002F3A1D">
        <w:rPr>
          <w:rFonts w:ascii="標楷體" w:eastAsia="標楷體" w:hAnsi="標楷體" w:hint="eastAsia"/>
          <w:color w:val="FF0000"/>
        </w:rPr>
        <w:t>良知是造化的精靈，這些精靈，生天生地，成鬼成帝，皆從此出，真是與物無對。</w:t>
      </w:r>
    </w:p>
    <w:p w:rsidR="005F61DC" w:rsidRPr="002F3A1D" w:rsidRDefault="005F61DC" w:rsidP="005A76CC">
      <w:pPr>
        <w:rPr>
          <w:rFonts w:ascii="標楷體" w:eastAsia="標楷體" w:hAnsi="標楷體"/>
          <w:color w:val="FF0000"/>
        </w:rPr>
      </w:pPr>
    </w:p>
    <w:p w:rsidR="005F61DC" w:rsidRPr="002F3A1D" w:rsidRDefault="005F61DC" w:rsidP="00AD04EB">
      <w:pPr>
        <w:ind w:leftChars="295" w:left="708"/>
        <w:rPr>
          <w:rFonts w:ascii="標楷體" w:eastAsia="標楷體" w:hAnsi="標楷體"/>
          <w:color w:val="FF0000"/>
        </w:rPr>
      </w:pPr>
      <w:r w:rsidRPr="002F3A1D">
        <w:rPr>
          <w:rFonts w:ascii="標楷體" w:eastAsia="標楷體" w:hAnsi="標楷體" w:hint="eastAsia"/>
          <w:color w:val="FF0000"/>
        </w:rPr>
        <w:t>人的良知，就是草、木、瓦、石的良知；若草、木、瓦、石無人的良知，不可以為草、木、瓦、石矣。</w:t>
      </w:r>
    </w:p>
    <w:p w:rsidR="005F61DC" w:rsidRPr="002F3A1D" w:rsidRDefault="005F61DC" w:rsidP="00AD04EB">
      <w:pPr>
        <w:ind w:leftChars="295" w:left="708"/>
        <w:rPr>
          <w:rFonts w:ascii="標楷體" w:eastAsia="標楷體" w:hAnsi="標楷體"/>
          <w:color w:val="FF0000"/>
        </w:rPr>
      </w:pPr>
    </w:p>
    <w:p w:rsidR="005F61DC" w:rsidRPr="002F3A1D" w:rsidRDefault="005F61DC" w:rsidP="00AD04EB">
      <w:pPr>
        <w:ind w:leftChars="295" w:left="708"/>
        <w:rPr>
          <w:rFonts w:ascii="標楷體" w:eastAsia="標楷體" w:hAnsi="標楷體" w:cs="新細明體"/>
          <w:color w:val="FF0000"/>
          <w:kern w:val="0"/>
          <w:szCs w:val="24"/>
        </w:rPr>
      </w:pPr>
      <w:r w:rsidRPr="002F3A1D">
        <w:rPr>
          <w:rFonts w:ascii="標楷體" w:eastAsia="標楷體" w:hAnsi="標楷體" w:cs="新細明體" w:hint="eastAsia"/>
          <w:color w:val="FF0000"/>
          <w:kern w:val="0"/>
          <w:szCs w:val="24"/>
        </w:rPr>
        <w:t>夫良知一也，以其妙用而言謂之神，以其流行而言謂之氣。</w:t>
      </w:r>
    </w:p>
    <w:p w:rsidR="005F61DC" w:rsidRPr="002F3A1D" w:rsidRDefault="005F61DC" w:rsidP="00AD04EB">
      <w:pPr>
        <w:ind w:leftChars="295" w:left="708"/>
        <w:rPr>
          <w:rFonts w:ascii="標楷體" w:eastAsia="標楷體" w:hAnsi="標楷體" w:cs="新細明體"/>
          <w:color w:val="FF0000"/>
          <w:kern w:val="0"/>
          <w:szCs w:val="24"/>
        </w:rPr>
      </w:pPr>
    </w:p>
    <w:p w:rsidR="005F61DC" w:rsidRPr="002F3A1D" w:rsidRDefault="005F61DC" w:rsidP="00AD04EB">
      <w:pPr>
        <w:ind w:leftChars="295" w:left="708"/>
        <w:rPr>
          <w:rFonts w:ascii="標楷體" w:eastAsia="標楷體" w:hAnsi="標楷體" w:cs="新細明體"/>
          <w:color w:val="FF0000"/>
          <w:kern w:val="0"/>
          <w:szCs w:val="24"/>
        </w:rPr>
      </w:pPr>
      <w:r w:rsidRPr="002F3A1D">
        <w:rPr>
          <w:rFonts w:ascii="標楷體" w:eastAsia="標楷體" w:hAnsi="標楷體" w:cs="新細明體" w:hint="eastAsia"/>
          <w:color w:val="FF0000"/>
          <w:kern w:val="0"/>
          <w:szCs w:val="24"/>
        </w:rPr>
        <w:t>良知之虛便是天之太虛，良知之無便是太虛之無形，日、月、風、雷、山、川、民、物，凡有貌象形色，皆在太虛無形中發用流行，未嘗作得天的障</w:t>
      </w:r>
      <w:r w:rsidRPr="002F3A1D">
        <w:rPr>
          <w:rFonts w:ascii="標楷體" w:eastAsia="標楷體" w:hAnsi="標楷體" w:cs="新細明體" w:hint="eastAsia"/>
          <w:color w:val="FF0000"/>
          <w:kern w:val="0"/>
          <w:szCs w:val="24"/>
        </w:rPr>
        <w:lastRenderedPageBreak/>
        <w:t>礙。</w:t>
      </w:r>
    </w:p>
    <w:p w:rsidR="005F61DC" w:rsidRDefault="005F61DC" w:rsidP="005A76CC">
      <w:pPr>
        <w:rPr>
          <w:rFonts w:ascii="新細明體" w:cs="新細明體"/>
          <w:kern w:val="0"/>
          <w:szCs w:val="24"/>
        </w:rPr>
      </w:pPr>
    </w:p>
    <w:p w:rsidR="005F61DC" w:rsidRPr="002F3A1D" w:rsidRDefault="005F61DC" w:rsidP="00F41DF6">
      <w:pPr>
        <w:ind w:leftChars="295" w:left="708"/>
        <w:rPr>
          <w:rFonts w:ascii="標楷體" w:eastAsia="標楷體" w:hAnsi="標楷體" w:cs="新細明體"/>
          <w:kern w:val="0"/>
          <w:szCs w:val="24"/>
          <w:u w:val="single"/>
        </w:rPr>
      </w:pPr>
      <w:r w:rsidRPr="002F3A1D">
        <w:rPr>
          <w:rFonts w:ascii="標楷體" w:eastAsia="標楷體" w:hAnsi="標楷體" w:cs="新細明體" w:hint="eastAsia"/>
          <w:kern w:val="0"/>
          <w:szCs w:val="24"/>
          <w:highlight w:val="green"/>
          <w:u w:val="single"/>
        </w:rPr>
        <w:t>案：「</w:t>
      </w:r>
      <w:r w:rsidRPr="002F3A1D">
        <w:rPr>
          <w:rFonts w:ascii="標楷體" w:eastAsia="標楷體" w:hAnsi="標楷體" w:hint="eastAsia"/>
          <w:highlight w:val="green"/>
          <w:u w:val="single"/>
        </w:rPr>
        <w:t>良知是造化的精靈</w:t>
      </w:r>
      <w:r w:rsidRPr="002F3A1D">
        <w:rPr>
          <w:rFonts w:ascii="標楷體" w:eastAsia="標楷體" w:hAnsi="標楷體" w:cs="新細明體" w:hint="eastAsia"/>
          <w:kern w:val="0"/>
          <w:szCs w:val="24"/>
          <w:highlight w:val="green"/>
          <w:u w:val="single"/>
        </w:rPr>
        <w:t>」，這是存有論地說，「人若復得他」以下是實踐地說。「復得他完完全全，無少虧欠」，即含著圓頓之教。</w:t>
      </w:r>
    </w:p>
    <w:p w:rsidR="005F61DC" w:rsidRPr="00E3046B" w:rsidRDefault="005F61DC" w:rsidP="005A76CC">
      <w:pPr>
        <w:rPr>
          <w:rFonts w:ascii="新細明體" w:cs="新細明體"/>
          <w:kern w:val="0"/>
          <w:szCs w:val="24"/>
        </w:rPr>
      </w:pPr>
    </w:p>
    <w:p w:rsidR="005F61DC" w:rsidRDefault="005F61DC" w:rsidP="004079CC">
      <w:pPr>
        <w:ind w:leftChars="295" w:left="708"/>
        <w:rPr>
          <w:rFonts w:ascii="新細明體" w:cs="新細明體"/>
          <w:kern w:val="0"/>
          <w:szCs w:val="24"/>
        </w:rPr>
      </w:pPr>
      <w:r w:rsidRPr="002F3A1D">
        <w:rPr>
          <w:rFonts w:ascii="標楷體" w:eastAsia="標楷體" w:hAnsi="標楷體" w:cs="新細明體" w:hint="eastAsia"/>
          <w:kern w:val="0"/>
          <w:szCs w:val="24"/>
          <w:highlight w:val="yellow"/>
          <w:u w:val="single"/>
        </w:rPr>
        <w:t>就事言，良知明覺是吾實踐德行之根據；就物言，良知明覺是天地萬物之存有論的根據。</w:t>
      </w:r>
      <w:r w:rsidRPr="00E31927">
        <w:rPr>
          <w:rFonts w:ascii="標楷體" w:eastAsia="標楷體" w:hAnsi="標楷體" w:cs="新細明體" w:hint="eastAsia"/>
          <w:kern w:val="0"/>
          <w:szCs w:val="24"/>
        </w:rPr>
        <w:t>故主觀地說，是由仁心之感通而為一體，而客觀地說，則此一體之仁心頓時即是天地萬物之生化之理。───中庸言誠，至明道而由仁說，至陽明而由良知明覺說，其實皆是說的這同一本體。是故就成己與成物之分而有事與物之不同，然而其根據則是一本而無二。</w:t>
      </w:r>
      <w:r w:rsidRPr="002F3A1D">
        <w:rPr>
          <w:rFonts w:ascii="標楷體" w:eastAsia="標楷體" w:hAnsi="標楷體" w:cs="新細明體" w:hint="eastAsia"/>
          <w:kern w:val="0"/>
          <w:szCs w:val="24"/>
          <w:highlight w:val="cyan"/>
          <w:u w:val="single"/>
        </w:rPr>
        <w:t>就成己而言，是道德實踐，就成物言，是形上學，然而是在合內外之道之實踐下，亦即是在圓教下的形上學，故是實踐的形上學，亦曰道德的形上學</w:t>
      </w:r>
      <w:r>
        <w:rPr>
          <w:rFonts w:ascii="新細明體" w:hAnsi="新細明體" w:cs="新細明體" w:hint="eastAsia"/>
          <w:kern w:val="0"/>
          <w:szCs w:val="24"/>
        </w:rPr>
        <w:t>。</w:t>
      </w:r>
      <w:r>
        <w:rPr>
          <w:rStyle w:val="a6"/>
          <w:rFonts w:ascii="新細明體" w:cs="新細明體"/>
          <w:kern w:val="0"/>
          <w:szCs w:val="24"/>
        </w:rPr>
        <w:footnoteReference w:id="6"/>
      </w:r>
    </w:p>
    <w:p w:rsidR="005F61DC" w:rsidRPr="00206AA2" w:rsidRDefault="005F61DC" w:rsidP="005A76CC">
      <w:pPr>
        <w:rPr>
          <w:rFonts w:ascii="新細明體" w:cs="新細明體"/>
          <w:kern w:val="0"/>
          <w:szCs w:val="24"/>
        </w:rPr>
      </w:pPr>
    </w:p>
    <w:p w:rsidR="005F61DC" w:rsidRDefault="005F61DC" w:rsidP="00157761">
      <w:pPr>
        <w:ind w:leftChars="295" w:left="708"/>
      </w:pPr>
      <w:r w:rsidRPr="002F3A1D">
        <w:rPr>
          <w:rFonts w:ascii="標楷體" w:eastAsia="標楷體" w:hAnsi="標楷體" w:hint="eastAsia"/>
          <w:highlight w:val="green"/>
          <w:u w:val="single"/>
        </w:rPr>
        <w:t>就成物言，是宇宙生化之原理，亦即道德形上學之存有論的原理，使物物皆如如地得其所而然其然，即良知明覺之同於天命實體而於穆不已也。在圓教下，道德創造與宇宙生化是一，一是皆在明覺感應中朗現。</w:t>
      </w:r>
      <w:r w:rsidR="00CB7C28">
        <w:rPr>
          <w:rStyle w:val="a6"/>
        </w:rPr>
        <w:footnoteReference w:id="7"/>
      </w:r>
    </w:p>
    <w:p w:rsidR="005F61DC" w:rsidRDefault="005F61DC" w:rsidP="005A76CC">
      <w:pPr>
        <w:rPr>
          <w:rFonts w:ascii="新細明體" w:cs="新細明體"/>
          <w:kern w:val="0"/>
          <w:szCs w:val="24"/>
        </w:rPr>
      </w:pPr>
    </w:p>
    <w:p w:rsidR="00E01510" w:rsidRDefault="00E01510" w:rsidP="005A76CC">
      <w:pPr>
        <w:rPr>
          <w:rFonts w:ascii="新細明體" w:cs="新細明體"/>
          <w:kern w:val="0"/>
          <w:szCs w:val="24"/>
        </w:rPr>
      </w:pPr>
      <w:r>
        <w:rPr>
          <w:rFonts w:ascii="新細明體" w:cs="新細明體" w:hint="eastAsia"/>
          <w:kern w:val="0"/>
          <w:szCs w:val="24"/>
        </w:rPr>
        <w:t>六、牟宗三批評程朱非本質工夫</w:t>
      </w:r>
    </w:p>
    <w:p w:rsidR="005F61DC" w:rsidRDefault="005F61DC" w:rsidP="005A76CC">
      <w:pPr>
        <w:rPr>
          <w:rFonts w:ascii="新細明體" w:cs="新細明體"/>
          <w:kern w:val="0"/>
          <w:szCs w:val="24"/>
        </w:rPr>
      </w:pPr>
    </w:p>
    <w:p w:rsidR="005F61DC" w:rsidRPr="00EB1035" w:rsidRDefault="005F61DC" w:rsidP="005F62C0">
      <w:pPr>
        <w:ind w:leftChars="295" w:left="708"/>
        <w:rPr>
          <w:szCs w:val="24"/>
        </w:rPr>
      </w:pPr>
      <w:r w:rsidRPr="00EB1035">
        <w:rPr>
          <w:rFonts w:ascii="標楷體" w:eastAsia="標楷體" w:hAnsi="標楷體" w:cs="新細明體" w:hint="eastAsia"/>
          <w:kern w:val="0"/>
          <w:szCs w:val="24"/>
        </w:rPr>
        <w:t>陽明言「致」字，直接地是「向前推進」底意思，等於孟子所謂「擴充」。「致良知」是把良知知天理或良知所覺之是非善惡不讓它為私欲所間隔而充分地把它呈現出來以使之見之於行事，即成道德行為。───能如此擴充之，則吾之全部生命便全體皆是良知天理之流行，───「致」表示行動，見於行事。但如何能「致」呢？此並無繞出去的巧妙方法。───只因良知人人本有，它雖是超越的，亦時時不自覺地呈露。</w:t>
      </w:r>
      <w:r w:rsidRPr="00373857">
        <w:rPr>
          <w:rFonts w:ascii="標楷體" w:eastAsia="標楷體" w:hAnsi="標楷體" w:cs="新細明體" w:hint="eastAsia"/>
          <w:kern w:val="0"/>
          <w:szCs w:val="24"/>
          <w:highlight w:val="cyan"/>
          <w:u w:val="single"/>
        </w:rPr>
        <w:t>致良知底致字，在此致中即含有警覺底意思，而即以警覺開始其致。警覺亦名曰「逆覺」，即隨其呈露反而自覺地意識及之，不令其滑過。故逆覺中即含有一種肯認或體認，此名曰「逆覺體證」。</w:t>
      </w:r>
      <w:r w:rsidRPr="00EB1035">
        <w:rPr>
          <w:rFonts w:ascii="標楷體" w:eastAsia="標楷體" w:hAnsi="標楷體" w:cs="新細明體" w:hint="eastAsia"/>
          <w:kern w:val="0"/>
          <w:szCs w:val="24"/>
        </w:rPr>
        <w:t>───人人有此良知，然為私欲蒙蔽，則雖有而不露。即或隨時可有不自覺的呈露，所謂透露一點端倪，然為私欲，氣質，以及內外種種主觀感性條件所阻隔，亦不能使其必然有呈露而又可以縮回去。</w:t>
      </w:r>
      <w:r w:rsidRPr="00373857">
        <w:rPr>
          <w:rFonts w:ascii="標楷體" w:eastAsia="標楷體" w:hAnsi="標楷體" w:cs="新細明體" w:hint="eastAsia"/>
          <w:kern w:val="0"/>
          <w:szCs w:val="24"/>
          <w:highlight w:val="green"/>
          <w:u w:val="single"/>
        </w:rPr>
        <w:t>要想自覺地使其必然有呈露，則必須通過逆覺體證而肯認之。若問，即使已通過逆覺體證而肯認之矣，然而私欲氣質以及種種主觀感性條件仍阻隔之，而它亦仍不能順適調暢地貫通下來，則又如何？曰：此亦無繞出去的巧妙辦法。此中本質的關鍵仍在良知本身之力量。</w:t>
      </w:r>
      <w:r w:rsidRPr="00EB1035">
        <w:rPr>
          <w:rFonts w:ascii="標楷體" w:eastAsia="標楷體" w:hAnsi="標楷體" w:cs="新細明體" w:hint="eastAsia"/>
          <w:kern w:val="0"/>
          <w:szCs w:val="24"/>
        </w:rPr>
        <w:t>良知明覺若真通過逆覺體證而被肯認，則它本身即是私欲氣質等之大剋星，其本身就有一種不容已地要湧現出來的力量。此即陽明所以言知行合一之故，亦即</w:t>
      </w:r>
      <w:r w:rsidRPr="00EB1035">
        <w:rPr>
          <w:rFonts w:ascii="標楷體" w:eastAsia="標楷體" w:hAnsi="標楷體" w:cs="新細明體" w:hint="eastAsia"/>
          <w:kern w:val="0"/>
          <w:szCs w:val="24"/>
        </w:rPr>
        <w:lastRenderedPageBreak/>
        <w:t>孟子所言之良知良能也。</w:t>
      </w:r>
      <w:r w:rsidRPr="00373857">
        <w:rPr>
          <w:rFonts w:ascii="標楷體" w:eastAsia="標楷體" w:hAnsi="標楷體" w:cs="新細明體" w:hint="eastAsia"/>
          <w:kern w:val="0"/>
          <w:szCs w:val="24"/>
          <w:highlight w:val="yellow"/>
          <w:u w:val="single"/>
        </w:rPr>
        <w:t>良知固即是理，然此理字是從良知明覺說，不是離開良知明覺而與心為二的那個空懸的寡頭的理。「</w:t>
      </w:r>
      <w:r w:rsidRPr="00373857">
        <w:rPr>
          <w:rFonts w:ascii="標楷體" w:eastAsia="標楷體" w:hAnsi="標楷體" w:hint="eastAsia"/>
          <w:szCs w:val="24"/>
          <w:highlight w:val="yellow"/>
          <w:u w:val="single"/>
        </w:rPr>
        <w:t>心理是一」</w:t>
      </w:r>
      <w:r w:rsidRPr="00373857">
        <w:rPr>
          <w:rFonts w:ascii="標楷體" w:eastAsia="標楷體" w:hAnsi="標楷體"/>
          <w:szCs w:val="24"/>
          <w:highlight w:val="yellow"/>
          <w:u w:val="single"/>
        </w:rPr>
        <w:t>(</w:t>
      </w:r>
      <w:r w:rsidRPr="00373857">
        <w:rPr>
          <w:rFonts w:ascii="標楷體" w:eastAsia="標楷體" w:hAnsi="標楷體" w:hint="eastAsia"/>
          <w:szCs w:val="24"/>
          <w:highlight w:val="yellow"/>
          <w:u w:val="single"/>
        </w:rPr>
        <w:t>不是合一</w:t>
      </w:r>
      <w:r w:rsidRPr="00373857">
        <w:rPr>
          <w:rFonts w:ascii="標楷體" w:eastAsia="標楷體" w:hAnsi="標楷體"/>
          <w:szCs w:val="24"/>
          <w:highlight w:val="yellow"/>
          <w:u w:val="single"/>
        </w:rPr>
        <w:t>)</w:t>
      </w:r>
      <w:r w:rsidRPr="00373857">
        <w:rPr>
          <w:rFonts w:ascii="標楷體" w:eastAsia="標楷體" w:hAnsi="標楷體" w:hint="eastAsia"/>
          <w:szCs w:val="24"/>
          <w:highlight w:val="yellow"/>
          <w:u w:val="single"/>
        </w:rPr>
        <w:t>的心</w:t>
      </w:r>
      <w:r w:rsidRPr="00373857">
        <w:rPr>
          <w:rFonts w:ascii="標楷體" w:eastAsia="標楷體" w:hAnsi="標楷體"/>
          <w:szCs w:val="24"/>
          <w:highlight w:val="yellow"/>
          <w:u w:val="single"/>
        </w:rPr>
        <w:t>(</w:t>
      </w:r>
      <w:r w:rsidRPr="00373857">
        <w:rPr>
          <w:rFonts w:ascii="標楷體" w:eastAsia="標楷體" w:hAnsi="標楷體" w:hint="eastAsia"/>
          <w:szCs w:val="24"/>
          <w:highlight w:val="yellow"/>
          <w:u w:val="single"/>
        </w:rPr>
        <w:t>良知明覺</w:t>
      </w:r>
      <w:r w:rsidRPr="00373857">
        <w:rPr>
          <w:rFonts w:ascii="標楷體" w:eastAsia="標楷體" w:hAnsi="標楷體"/>
          <w:szCs w:val="24"/>
          <w:highlight w:val="yellow"/>
          <w:u w:val="single"/>
        </w:rPr>
        <w:t>)</w:t>
      </w:r>
      <w:r w:rsidRPr="00373857">
        <w:rPr>
          <w:rFonts w:ascii="標楷體" w:eastAsia="標楷體" w:hAnsi="標楷體" w:hint="eastAsia"/>
          <w:szCs w:val="24"/>
          <w:highlight w:val="yellow"/>
          <w:u w:val="single"/>
        </w:rPr>
        <w:t>才有那種不容已地要湧現出來的力量。若與心為二的那個空頭的理，則無此力量</w:t>
      </w:r>
      <w:r w:rsidRPr="00EB1035">
        <w:rPr>
          <w:rFonts w:ascii="標楷體" w:eastAsia="標楷體" w:hAnsi="標楷體" w:hint="eastAsia"/>
          <w:szCs w:val="24"/>
        </w:rPr>
        <w:t>，</w:t>
      </w:r>
      <w:r w:rsidRPr="00373857">
        <w:rPr>
          <w:rFonts w:ascii="標楷體" w:eastAsia="標楷體" w:hAnsi="標楷體" w:hint="eastAsia"/>
          <w:szCs w:val="24"/>
          <w:highlight w:val="green"/>
          <w:u w:val="single"/>
        </w:rPr>
        <w:t>因此，要想使理能夠貫通下來，則必須繞出去而講其它的工夫，如居敬</w:t>
      </w:r>
      <w:r w:rsidRPr="00373857">
        <w:rPr>
          <w:rFonts w:ascii="標楷體" w:eastAsia="標楷體" w:hAnsi="標楷體"/>
          <w:szCs w:val="24"/>
          <w:highlight w:val="green"/>
          <w:u w:val="single"/>
        </w:rPr>
        <w:t>(</w:t>
      </w:r>
      <w:r w:rsidRPr="00373857">
        <w:rPr>
          <w:rFonts w:ascii="標楷體" w:eastAsia="標楷體" w:hAnsi="標楷體" w:hint="eastAsia"/>
          <w:szCs w:val="24"/>
          <w:highlight w:val="green"/>
          <w:u w:val="single"/>
        </w:rPr>
        <w:t>後天的敬</w:t>
      </w:r>
      <w:r w:rsidRPr="00373857">
        <w:rPr>
          <w:rFonts w:ascii="標楷體" w:eastAsia="標楷體" w:hAnsi="標楷體"/>
          <w:szCs w:val="24"/>
          <w:highlight w:val="green"/>
          <w:u w:val="single"/>
        </w:rPr>
        <w:t>)</w:t>
      </w:r>
      <w:r w:rsidRPr="00373857">
        <w:rPr>
          <w:rFonts w:ascii="標楷體" w:eastAsia="標楷體" w:hAnsi="標楷體" w:hint="eastAsia"/>
          <w:szCs w:val="24"/>
          <w:highlight w:val="green"/>
          <w:u w:val="single"/>
        </w:rPr>
        <w:t>，涵養，格物，窮理等等，此便是朱子之一套。這一套工夫並非不重要，但依王學看來，則只能是助緣，而不是本質的工夫。</w:t>
      </w:r>
      <w:r w:rsidRPr="00EB1035">
        <w:rPr>
          <w:rFonts w:ascii="標楷體" w:eastAsia="標楷體" w:hAnsi="標楷體" w:hint="eastAsia"/>
          <w:szCs w:val="24"/>
        </w:rPr>
        <w:t>本質的工夫唯在逆覺體證，所依靠的本質的根據唯在良知本身的力量。此就道德實踐說乃是必然的。以助緣為主力乃是本末顛倒。凡順孟子下來者，如象山，如陽明，皆並非不知氣質之病痛，亦並非不知教育，學問等之重要，但此等後天的工夫並非本質的。故就內聖之學之道德實踐，必從先天開工夫，而言逆覺體證也。</w:t>
      </w:r>
      <w:r w:rsidR="005F62C0">
        <w:rPr>
          <w:rStyle w:val="a6"/>
          <w:szCs w:val="24"/>
        </w:rPr>
        <w:footnoteReference w:id="8"/>
      </w:r>
    </w:p>
    <w:p w:rsidR="005F61DC" w:rsidRDefault="005F61DC" w:rsidP="005A76CC">
      <w:pPr>
        <w:rPr>
          <w:rFonts w:ascii="新細明體"/>
        </w:rPr>
      </w:pPr>
    </w:p>
    <w:p w:rsidR="00E01510" w:rsidRDefault="00E01510" w:rsidP="005A76CC">
      <w:pPr>
        <w:rPr>
          <w:rFonts w:ascii="新細明體"/>
        </w:rPr>
      </w:pPr>
      <w:r>
        <w:rPr>
          <w:rFonts w:ascii="新細明體" w:hint="eastAsia"/>
        </w:rPr>
        <w:t>七、</w:t>
      </w:r>
      <w:r w:rsidR="00924D6C">
        <w:rPr>
          <w:rFonts w:ascii="新細明體" w:hint="eastAsia"/>
        </w:rPr>
        <w:t>牟先生另創良知坎陷說</w:t>
      </w:r>
    </w:p>
    <w:p w:rsidR="005F61DC" w:rsidRDefault="005F61DC" w:rsidP="005A76CC">
      <w:pPr>
        <w:rPr>
          <w:rFonts w:ascii="新細明體"/>
        </w:rPr>
      </w:pPr>
    </w:p>
    <w:p w:rsidR="005F61DC" w:rsidRDefault="005F61DC" w:rsidP="00346C25">
      <w:pPr>
        <w:ind w:leftChars="295" w:left="708"/>
        <w:rPr>
          <w:rFonts w:ascii="新細明體"/>
        </w:rPr>
      </w:pPr>
      <w:r w:rsidRPr="00373857">
        <w:rPr>
          <w:rFonts w:ascii="標楷體" w:eastAsia="標楷體" w:hAnsi="標楷體" w:hint="eastAsia"/>
          <w:highlight w:val="yellow"/>
          <w:u w:val="single"/>
        </w:rPr>
        <w:t>若指作聖賢言，則物限於生活行為上說，自已足矣。然而不礙尚有桌子椅子等等一種物，此將如何統設之於致良知教中？復次，此物如其為一物，有理乎？無理乎？如其有理也，將何以窮之？此自非窮良知之天理即可盡。</w:t>
      </w:r>
      <w:r w:rsidRPr="00103564">
        <w:rPr>
          <w:rFonts w:ascii="標楷體" w:eastAsia="標楷體" w:hAnsi="標楷體" w:hint="eastAsia"/>
        </w:rPr>
        <w:t>良知之天理流於生活行為中而貫之，亦流於桌子椅子中而成其為桌子椅子耶？此故甚難矣。然則，吾將如何對付此一種物？此自是知識之問題，而為先哲所不措意者。然在今日，則不能不有以疏解之。關於桌子椅子之一套與陽明子致良知之一套完全兩會事，然而不能不通而歸於一。桌子椅子亦在天心天理之貫徹中，此將亦為可成之命題。</w:t>
      </w:r>
      <w:r w:rsidRPr="00A445AF">
        <w:rPr>
          <w:rFonts w:ascii="標楷體" w:eastAsia="標楷體" w:hAnsi="標楷體" w:hint="eastAsia"/>
          <w:highlight w:val="green"/>
          <w:u w:val="single"/>
        </w:rPr>
        <w:t>然徒由吾人日常生活之致良知上則不能成立之。如成立此命題，不知要經多少曲折。蓋此為一形上學之命題，繫於客觀而絕對之唯心論之成立，即「乾坤知能」之成立，亦即「無聲無嗅獨知時，此是乾坤萬有基」一主斷之成立。然無論將來如何，即使此命題成立矣，而在眼前致良知中，總有桌子椅子一種物間隔而度不過，因而總有此遺漏而不能盡。</w:t>
      </w:r>
      <w:r w:rsidRPr="00103564">
        <w:rPr>
          <w:rFonts w:ascii="標楷體" w:eastAsia="標楷體" w:hAnsi="標楷體" w:hint="eastAsia"/>
        </w:rPr>
        <w:t>吾人需有以說明之。看它如何能進入致良知之教義中。此是知識問題也。</w:t>
      </w:r>
      <w:r>
        <w:rPr>
          <w:rFonts w:ascii="新細明體" w:hAnsi="新細明體" w:hint="eastAsia"/>
        </w:rPr>
        <w:t>。</w:t>
      </w:r>
      <w:r w:rsidR="002864E4">
        <w:rPr>
          <w:rStyle w:val="a6"/>
          <w:rFonts w:ascii="新細明體" w:hAnsi="新細明體"/>
        </w:rPr>
        <w:footnoteReference w:id="9"/>
      </w:r>
    </w:p>
    <w:p w:rsidR="005F61DC" w:rsidRDefault="005F61DC" w:rsidP="005A76CC">
      <w:pPr>
        <w:rPr>
          <w:rFonts w:ascii="新細明體"/>
        </w:rPr>
      </w:pPr>
    </w:p>
    <w:p w:rsidR="005F61DC" w:rsidRDefault="005F61DC" w:rsidP="00073FE3">
      <w:pPr>
        <w:ind w:leftChars="295" w:left="708"/>
        <w:rPr>
          <w:rFonts w:ascii="新細明體"/>
        </w:rPr>
      </w:pPr>
      <w:r w:rsidRPr="0049696F">
        <w:rPr>
          <w:rFonts w:ascii="標楷體" w:eastAsia="標楷體" w:hAnsi="標楷體" w:hint="eastAsia"/>
        </w:rPr>
        <w:t>良知能斷制「用桌子」之行為，而不能斷制「桌子」之何所是。───雖有造桌子之誠意，而意不能達；雖有良知天理之判決此行為之必應作，然終無由以施其作。此不得究良知天理之不足，蓋良知天理所負之責任不在此。此應歸咎於對造桌子之無知識也。</w:t>
      </w:r>
      <w:r w:rsidRPr="00A445AF">
        <w:rPr>
          <w:rFonts w:ascii="標楷體" w:eastAsia="標楷體" w:hAnsi="標楷體" w:hint="eastAsia"/>
          <w:highlight w:val="yellow"/>
          <w:u w:val="single"/>
        </w:rPr>
        <w:t>就此觀之，造桌子之行為要貫徹而實現，除良知天理以及致良知之天理外，還須有造桌子之知識為條件。</w:t>
      </w:r>
      <w:r w:rsidRPr="0049696F">
        <w:rPr>
          <w:rFonts w:ascii="標楷體" w:eastAsia="標楷體" w:hAnsi="標楷體" w:hint="eastAsia"/>
        </w:rPr>
        <w:t>一切行為皆須有此知識之條件。是以在致良知中，此「致」字不單表示吾人作此行為之修養工夫之一套，</w:t>
      </w:r>
      <w:r w:rsidRPr="0049696F">
        <w:rPr>
          <w:rFonts w:ascii="標楷體" w:eastAsia="標楷體" w:hAnsi="標楷體"/>
        </w:rPr>
        <w:t>(</w:t>
      </w:r>
      <w:r w:rsidRPr="0049696F">
        <w:rPr>
          <w:rFonts w:ascii="標楷體" w:eastAsia="標楷體" w:hAnsi="標楷體" w:hint="eastAsia"/>
        </w:rPr>
        <w:t>就此套言，一切工夫皆集中於致</w:t>
      </w:r>
      <w:r w:rsidRPr="0049696F">
        <w:rPr>
          <w:rFonts w:ascii="標楷體" w:eastAsia="標楷體" w:hAnsi="標楷體"/>
        </w:rPr>
        <w:t>)</w:t>
      </w:r>
      <w:r w:rsidRPr="0049696F">
        <w:rPr>
          <w:rFonts w:ascii="標楷體" w:eastAsia="標楷體" w:hAnsi="標楷體" w:hint="eastAsia"/>
        </w:rPr>
        <w:t>，且亦表</w:t>
      </w:r>
      <w:r w:rsidRPr="0049696F">
        <w:rPr>
          <w:rFonts w:ascii="標楷體" w:eastAsia="標楷體" w:hAnsi="標楷體" w:hint="eastAsia"/>
        </w:rPr>
        <w:lastRenderedPageBreak/>
        <w:t>示須有知識之一套以補充之。</w:t>
      </w:r>
      <w:r w:rsidRPr="00A445AF">
        <w:rPr>
          <w:rFonts w:ascii="標楷體" w:eastAsia="標楷體" w:hAnsi="標楷體" w:hint="eastAsia"/>
          <w:highlight w:val="cyan"/>
          <w:u w:val="single"/>
        </w:rPr>
        <w:t>此知識之一套，非良知天理所可給，須知之於外物而待學。</w:t>
      </w:r>
      <w:r w:rsidRPr="0049696F">
        <w:rPr>
          <w:rFonts w:ascii="標楷體" w:eastAsia="標楷體" w:hAnsi="標楷體" w:hint="eastAsia"/>
        </w:rPr>
        <w:t>因此，每一行為實是行為宇宙與知識宇宙兩者之融一。</w:t>
      </w:r>
      <w:r w:rsidRPr="0049696F">
        <w:rPr>
          <w:rFonts w:ascii="標楷體" w:eastAsia="標楷體" w:hAnsi="標楷體"/>
        </w:rPr>
        <w:t>(</w:t>
      </w:r>
      <w:r w:rsidRPr="0049696F">
        <w:rPr>
          <w:rFonts w:ascii="標楷體" w:eastAsia="標楷體" w:hAnsi="標楷體" w:hint="eastAsia"/>
        </w:rPr>
        <w:t>此亦是知行合一原則之一例</w:t>
      </w:r>
      <w:r w:rsidRPr="0049696F">
        <w:rPr>
          <w:rFonts w:ascii="標楷體" w:eastAsia="標楷體" w:hAnsi="標楷體"/>
        </w:rPr>
        <w:t>)</w:t>
      </w:r>
      <w:r w:rsidRPr="0049696F">
        <w:rPr>
          <w:rFonts w:ascii="標楷體" w:eastAsia="標楷體" w:hAnsi="標楷體" w:hint="eastAsia"/>
        </w:rPr>
        <w:t>。良知天理決定行為之當作，致良知則是由意志律而實現此行為。然在「致」字上，亦復當有知識所知之事物律以實現此行為。吾人可曰：意志律是此行為之形式因，事物律則是其材質因。依是，就在「致」字上，吾人不單有天理之貫徹以正當此行為，且即於此而透露出一「物理」以實現此行為。（實現不只靠物理，而物理卻也是實現之一具）。───</w:t>
      </w:r>
      <w:r w:rsidRPr="00A445AF">
        <w:rPr>
          <w:rFonts w:ascii="標楷體" w:eastAsia="標楷體" w:hAnsi="標楷體" w:hint="eastAsia"/>
          <w:highlight w:val="yellow"/>
          <w:u w:val="single"/>
        </w:rPr>
        <w:t>就此全套言，皆繫於良知之天理，猶網之繫於綱。從此言之，心外無物，心外無理。</w:t>
      </w:r>
      <w:r w:rsidRPr="0049696F">
        <w:rPr>
          <w:rFonts w:ascii="標楷體" w:eastAsia="標楷體" w:hAnsi="標楷體" w:hint="eastAsia"/>
        </w:rPr>
        <w:t>然而此全套中單單那一分卻是全套之出氣筒，卻是一個通孔。</w:t>
      </w:r>
      <w:r w:rsidRPr="00A445AF">
        <w:rPr>
          <w:rFonts w:ascii="標楷體" w:eastAsia="標楷體" w:hAnsi="標楷體" w:hint="eastAsia"/>
          <w:highlight w:val="green"/>
          <w:u w:val="single"/>
        </w:rPr>
        <w:t>由此而可通於外。在此而有內外之別，心理之二。此個通孔是不可少的。</w:t>
      </w:r>
      <w:r w:rsidRPr="0049696F">
        <w:rPr>
          <w:rFonts w:ascii="標楷體" w:eastAsia="標楷體" w:hAnsi="標楷體" w:hint="eastAsia"/>
        </w:rPr>
        <w:t>沒有它，吾人不能完成吾人之行為，不能達致良知之天理於陽明所說之事事物物上而正之。是以此知識之一外乃所以成就行為宇宙之統於內。由孔而出之，始能自外而至之。（自外至者無主不止。）</w:t>
      </w:r>
      <w:r w:rsidR="00384416">
        <w:rPr>
          <w:rStyle w:val="a6"/>
          <w:rFonts w:ascii="新細明體" w:hAnsi="新細明體"/>
        </w:rPr>
        <w:footnoteReference w:id="10"/>
      </w:r>
    </w:p>
    <w:p w:rsidR="005F61DC" w:rsidRDefault="005F61DC" w:rsidP="005A76CC">
      <w:pPr>
        <w:rPr>
          <w:rFonts w:ascii="新細明體"/>
        </w:rPr>
      </w:pPr>
    </w:p>
    <w:p w:rsidR="005F61DC" w:rsidRPr="00A445AF" w:rsidRDefault="005F61DC" w:rsidP="00623346">
      <w:pPr>
        <w:ind w:leftChars="295" w:left="708"/>
        <w:rPr>
          <w:rFonts w:ascii="新細明體"/>
          <w:b/>
          <w:u w:val="single"/>
        </w:rPr>
      </w:pPr>
      <w:r w:rsidRPr="00623346">
        <w:rPr>
          <w:rFonts w:ascii="標楷體" w:eastAsia="標楷體" w:hAnsi="標楷體" w:hint="eastAsia"/>
        </w:rPr>
        <w:t>此言將知識攝入致良知教義中。然知識雖待外，而亦必有待於吾心之領取。領取是了別。</w:t>
      </w:r>
      <w:r w:rsidRPr="00A445AF">
        <w:rPr>
          <w:rFonts w:ascii="標楷體" w:eastAsia="標楷體" w:hAnsi="標楷體" w:hint="eastAsia"/>
          <w:highlight w:val="cyan"/>
          <w:u w:val="single"/>
        </w:rPr>
        <w:t>了別之用仍是吾心之所發。───即在致字上，吾心之良知亦須決定自己轉而為了別。</w:t>
      </w:r>
      <w:r w:rsidRPr="00623346">
        <w:rPr>
          <w:rFonts w:ascii="標楷體" w:eastAsia="標楷體" w:hAnsi="標楷體" w:hint="eastAsia"/>
        </w:rPr>
        <w:t>了別之用仍是吾心之所發。───即在致字上，吾心之良知亦須決定自己轉而為了別。</w:t>
      </w:r>
      <w:r w:rsidRPr="00A445AF">
        <w:rPr>
          <w:rFonts w:ascii="標楷體" w:eastAsia="標楷體" w:hAnsi="標楷體" w:hint="eastAsia"/>
          <w:highlight w:val="yellow"/>
          <w:u w:val="single"/>
        </w:rPr>
        <w:t>此種轉化是良知自己決定坎陷其自己，此亦是其天理之一環。坎陷其自己而為了別以從物。</w:t>
      </w:r>
      <w:r w:rsidRPr="00623346">
        <w:rPr>
          <w:rFonts w:ascii="標楷體" w:eastAsia="標楷體" w:hAnsi="標楷體" w:hint="eastAsia"/>
        </w:rPr>
        <w:t>從物始能知物，知物始能宰物。及其可以宰也，它復自坎陷中湧出其自己而復會物以歸己，成為自己之所統與所攝。───此方是融攝知識之真實義。在行為宇宙中成就了知識宇宙，而復統</w:t>
      </w:r>
      <w:r w:rsidR="00AC4F38" w:rsidRPr="00623346">
        <w:rPr>
          <w:rFonts w:ascii="標楷體" w:eastAsia="標楷體" w:hAnsi="標楷體" w:hint="eastAsia"/>
        </w:rPr>
        <w:t>攝</w:t>
      </w:r>
      <w:r w:rsidRPr="00623346">
        <w:rPr>
          <w:rFonts w:ascii="標楷體" w:eastAsia="標楷體" w:hAnsi="標楷體" w:hint="eastAsia"/>
        </w:rPr>
        <w:t>了知識宇宙。在知識宇宙中，物暫為外，而心因其是識心，是良知自己決定之坎陷，故亦暫時與物而為二。───在良知天理決定去成就「知親」這件行為中，良知天心即需同時決定坎陷其自己而為了別心以從事去了別「親」這個「知識物」。就在此副套之致良知行為中，天心即轉化為了別心。</w:t>
      </w:r>
      <w:r w:rsidRPr="00A445AF">
        <w:rPr>
          <w:rFonts w:ascii="標楷體" w:eastAsia="標楷體" w:hAnsi="標楷體" w:hint="eastAsia"/>
          <w:b/>
          <w:highlight w:val="lightGray"/>
          <w:u w:val="single"/>
        </w:rPr>
        <w:t>既為了別心，必有了別心之所對。故即在此時，心與物為二，且為內外。</w:t>
      </w:r>
      <w:r w:rsidRPr="00623346">
        <w:rPr>
          <w:rFonts w:ascii="標楷體" w:eastAsia="標楷體" w:hAnsi="標楷體" w:hint="eastAsia"/>
        </w:rPr>
        <w:t>「知親」這件行為為良知天理之所決定，故不能外於良知之天理，故曰心外無物。然在「知親」這件行為中，要去實質了解「親」這個知識物，則天心轉化為了別心，了別心即與「親」這個知識物為二為內外。</w:t>
      </w:r>
      <w:r w:rsidRPr="00A445AF">
        <w:rPr>
          <w:rFonts w:ascii="標楷體" w:eastAsia="標楷體" w:hAnsi="標楷體" w:hint="eastAsia"/>
          <w:b/>
          <w:highlight w:val="lightGray"/>
          <w:u w:val="single"/>
        </w:rPr>
        <w:t>了別心是天心之坎陷，而二與內外即因此坎陷而置定</w:t>
      </w:r>
      <w:r w:rsidRPr="00A445AF">
        <w:rPr>
          <w:rFonts w:ascii="新細明體" w:hAnsi="新細明體" w:hint="eastAsia"/>
          <w:b/>
          <w:highlight w:val="lightGray"/>
          <w:u w:val="single"/>
        </w:rPr>
        <w:t>。</w:t>
      </w:r>
      <w:r w:rsidR="004A3642" w:rsidRPr="00A445AF">
        <w:rPr>
          <w:rStyle w:val="a6"/>
          <w:rFonts w:ascii="新細明體" w:hAnsi="新細明體"/>
          <w:b/>
          <w:highlight w:val="lightGray"/>
          <w:u w:val="single"/>
        </w:rPr>
        <w:footnoteReference w:id="11"/>
      </w:r>
    </w:p>
    <w:p w:rsidR="005F61DC" w:rsidRDefault="005F61DC" w:rsidP="005A76CC">
      <w:pPr>
        <w:rPr>
          <w:rFonts w:ascii="新細明體"/>
        </w:rPr>
      </w:pPr>
    </w:p>
    <w:p w:rsidR="005F61DC" w:rsidRDefault="005F61DC" w:rsidP="00623467">
      <w:pPr>
        <w:ind w:leftChars="295" w:left="708"/>
        <w:rPr>
          <w:rFonts w:ascii="新細明體"/>
        </w:rPr>
      </w:pPr>
      <w:r w:rsidRPr="00683A9F">
        <w:rPr>
          <w:rFonts w:ascii="標楷體" w:eastAsia="標楷體" w:hAnsi="標楷體" w:hint="eastAsia"/>
        </w:rPr>
        <w:t>是以每一致良知行為自身有一雙重性：一是天心天理所決定斷制之行為系統，一是天心自己決定坎陷其自己所轉化之了別心所成之知識系統。此兩者在每一致良知之行為中是凝一的。───此種坎陷亦是良知天理之不容已，是良知天理發而為決定去知什麼是事親如何去事親這個知識行為中必</w:t>
      </w:r>
      <w:r w:rsidRPr="00683A9F">
        <w:rPr>
          <w:rFonts w:ascii="標楷體" w:eastAsia="標楷體" w:hAnsi="標楷體" w:hint="eastAsia"/>
        </w:rPr>
        <w:lastRenderedPageBreak/>
        <w:t>然有的坎陷。坎陷後而了解什麼是事親如何去事親，然後才能實現「事親」這件行為。───原來天心與了別心只是一心。只要為成就這件事，天心不能一於天心，而必須坎陷其自己而為一了別心。而若此坎陷亦為良知天理之不容已，則了別心亦天心矣，每一個致良知之行為皆可如此論。「行事親」與「知事親」是同時並起的。惟「知事親」是一知識行為，由此行為可以成知識系統。</w:t>
      </w:r>
      <w:r w:rsidR="00623467">
        <w:rPr>
          <w:rStyle w:val="a6"/>
          <w:rFonts w:ascii="新細明體" w:hAnsi="新細明體"/>
        </w:rPr>
        <w:footnoteReference w:id="12"/>
      </w:r>
      <w:r>
        <w:rPr>
          <w:rFonts w:ascii="新細明體" w:hAnsi="新細明體" w:hint="eastAsia"/>
        </w:rPr>
        <w:t>。</w:t>
      </w:r>
    </w:p>
    <w:p w:rsidR="005F61DC" w:rsidRDefault="005F61DC" w:rsidP="005A76CC">
      <w:pPr>
        <w:rPr>
          <w:rFonts w:ascii="新細明體"/>
        </w:rPr>
      </w:pPr>
    </w:p>
    <w:p w:rsidR="005F61DC" w:rsidRDefault="005F61DC" w:rsidP="008D383E">
      <w:pPr>
        <w:ind w:leftChars="295" w:left="708"/>
        <w:rPr>
          <w:rFonts w:ascii="新細明體"/>
        </w:rPr>
      </w:pPr>
      <w:r w:rsidRPr="004D1982">
        <w:rPr>
          <w:rFonts w:ascii="標楷體" w:eastAsia="標楷體" w:hAnsi="標楷體" w:hint="eastAsia"/>
        </w:rPr>
        <w:t>良知既只是一個天心靈明，所以到致良知時，知識便必須含其中。</w:t>
      </w:r>
      <w:r w:rsidRPr="00A445AF">
        <w:rPr>
          <w:rFonts w:ascii="標楷體" w:eastAsia="標楷體" w:hAnsi="標楷體" w:hint="eastAsia"/>
          <w:highlight w:val="yellow"/>
          <w:u w:val="single"/>
        </w:rPr>
        <w:t>知識是良知之貫徹中逼出來的。否則，</w:t>
      </w:r>
      <w:r w:rsidR="00AC4F38" w:rsidRPr="00A445AF">
        <w:rPr>
          <w:rFonts w:ascii="標楷體" w:eastAsia="標楷體" w:hAnsi="標楷體" w:hint="eastAsia"/>
          <w:highlight w:val="yellow"/>
          <w:u w:val="single"/>
        </w:rPr>
        <w:t>無</w:t>
      </w:r>
      <w:r w:rsidRPr="00A445AF">
        <w:rPr>
          <w:rFonts w:ascii="標楷體" w:eastAsia="標楷體" w:hAnsi="標楷體" w:hint="eastAsia"/>
          <w:highlight w:val="yellow"/>
          <w:u w:val="single"/>
        </w:rPr>
        <w:t>通氣處，便要窒死。</w:t>
      </w:r>
      <w:r w:rsidRPr="004D1982">
        <w:rPr>
          <w:rFonts w:ascii="標楷體" w:eastAsia="標楷體" w:hAnsi="標楷體" w:hint="eastAsia"/>
        </w:rPr>
        <w:t>良知天理自然要貫徹。不貫徹，只是物欲之間隔。若自其本性言，或吾人良知天理真實湧發時，它必然要貫徹，不待致而自致。致良知原為有物欲間隔者說。去其間隔而一但發現出本性之真實無妄，則良知天理之真誠惻坦，或良知天理之善，自能不容已其湧發而貫徹於事事物物。其湧發不容已，則其坎陷其自己而為了別心亦不容已，蓋此即其湧發貫徹歷程中之一迴環。若缺少此一迴環，它還是貫澈不下來。一有迴環，便成知識。知識便有物對。有物對便有物之理而在外。此問題若予以形上之解析，便是「個體」問題。靈知是一，吾的靈知便是蓋天蓋地的那個靈知。然蓋天蓋地那個靈知是乾坤之知能，是總攝全宇宙而言之的。而吾的知能雖就是那個乾坤之知能，而「我」卻是一個體。良知在「我」這個個體，亦在「他」那個個體。說到個體便有對，有對便有殊。有對，此其所以與我為二而為內外；有殊，此其所以彼此個體皆有其自理，（此理是形下的），因而必須從物而知之。所以知識系統在個體上成立。良知雖一，而不能不有分殊。個體便在分殊上說。乾坤知能既成就了全宇宙以及萬萬個體，所以在「我」這個個體上要致良知而成行為宇宙，而將全宇宙攝於吾之行為宇宙中，便不能不有一知識宇宙，而復將全宇宙攝於知識系統中。吾人於此知識宇宙只在說明知識之容納為已足。</w:t>
      </w:r>
      <w:r w:rsidRPr="00B01462">
        <w:rPr>
          <w:rFonts w:ascii="標楷體" w:eastAsia="標楷體" w:hAnsi="標楷體" w:hint="eastAsia"/>
          <w:b/>
          <w:highlight w:val="green"/>
          <w:u w:val="single"/>
        </w:rPr>
        <w:t>此所說之知識之容納，不惟陽明無此義，即朱子亦無此義也。</w:t>
      </w:r>
      <w:r w:rsidRPr="00B01462">
        <w:rPr>
          <w:rFonts w:ascii="標楷體" w:eastAsia="標楷體" w:hAnsi="標楷體" w:hint="eastAsia"/>
          <w:b/>
          <w:highlight w:val="cyan"/>
          <w:u w:val="single"/>
        </w:rPr>
        <w:t>蓋朱子之格物窮理義，雖可以順而含有知識義，而其本意實不在言知識。其所謂格物窮理，意在當機體察，乃含於動察之中：察之於念慮之微，求之於文字之中，驗之於事物之著，索之於講論之際，皆是格物，亦皆是窮理。而此格物窮理卻是去病存體，旨在求得普遍而超越之一貫之理，所以仍是一套道德工夫，不在成知識也。</w:t>
      </w:r>
      <w:r w:rsidRPr="004D1982">
        <w:rPr>
          <w:rFonts w:ascii="標楷體" w:eastAsia="標楷體" w:hAnsi="標楷體" w:hint="eastAsia"/>
        </w:rPr>
        <w:t>吾人現在既順致良知教而容納知識，則朱子此一套在整個知識系統之關鍵上自不甚肯要，然於慮的工夫上，則亦無甚可譏議也。吾人將在知識系統之統於行為系統上說明知識義之窮理，將在行為系統之發於良知天心上說明陽明義之窮理盡性，將在慮的心知工夫上吸納朱子之動察靜養。而若識得良知天心之大本原，</w:t>
      </w:r>
      <w:r w:rsidRPr="00B01462">
        <w:rPr>
          <w:rFonts w:ascii="標楷體" w:eastAsia="標楷體" w:hAnsi="標楷體" w:hint="eastAsia"/>
          <w:b/>
          <w:highlight w:val="yellow"/>
          <w:u w:val="single"/>
        </w:rPr>
        <w:t>握得良知之大頭腦，則動察靜養皆無不可，亦無所謂支離矣</w:t>
      </w:r>
      <w:r w:rsidRPr="00B01462">
        <w:rPr>
          <w:rFonts w:ascii="新細明體" w:hAnsi="新細明體" w:hint="eastAsia"/>
          <w:b/>
          <w:highlight w:val="yellow"/>
          <w:u w:val="single"/>
        </w:rPr>
        <w:t>。</w:t>
      </w:r>
      <w:r w:rsidR="001D7C09">
        <w:rPr>
          <w:rStyle w:val="a6"/>
          <w:rFonts w:ascii="新細明體" w:hAnsi="新細明體"/>
        </w:rPr>
        <w:footnoteReference w:id="13"/>
      </w:r>
    </w:p>
    <w:p w:rsidR="004D1982" w:rsidRDefault="004D1982" w:rsidP="005A76CC">
      <w:pPr>
        <w:rPr>
          <w:rFonts w:ascii="新細明體" w:hAnsi="新細明體"/>
        </w:rPr>
      </w:pPr>
    </w:p>
    <w:p w:rsidR="00ED50B9" w:rsidRDefault="00ED50B9" w:rsidP="005A76CC">
      <w:pPr>
        <w:rPr>
          <w:rFonts w:ascii="新細明體" w:hAnsi="新細明體"/>
        </w:rPr>
      </w:pPr>
      <w:r>
        <w:rPr>
          <w:rFonts w:ascii="新細明體" w:hAnsi="新細明體" w:hint="eastAsia"/>
        </w:rPr>
        <w:t>八、結語</w:t>
      </w:r>
    </w:p>
    <w:p w:rsidR="00ED50B9" w:rsidRDefault="00ED50B9" w:rsidP="005A76CC">
      <w:pPr>
        <w:rPr>
          <w:rFonts w:ascii="新細明體" w:hAnsi="新細明體"/>
        </w:rPr>
      </w:pPr>
    </w:p>
    <w:p w:rsidR="00ED50B9" w:rsidRDefault="00ED50B9" w:rsidP="00205909">
      <w:pPr>
        <w:ind w:firstLineChars="200" w:firstLine="480"/>
        <w:rPr>
          <w:rFonts w:ascii="新細明體" w:hAnsi="新細明體"/>
        </w:rPr>
      </w:pPr>
      <w:r>
        <w:rPr>
          <w:rFonts w:ascii="新細明體" w:hAnsi="新細明體" w:hint="eastAsia"/>
        </w:rPr>
        <w:t>牟先生一力維護陸王學以批判程朱學，但面對理論世界的實際時，他的做法幾乎就是「只許州官放火，不許百姓點燈。」</w:t>
      </w:r>
      <w:r w:rsidR="00205909">
        <w:rPr>
          <w:rFonts w:ascii="新細明體" w:hAnsi="新細明體" w:hint="eastAsia"/>
        </w:rPr>
        <w:t>一直以來，筆者認為中國哲學除了三教要辯證以外，在各家系統內都應該是一脈相承、互相發明的，只有偏執的哲學家才硬要區分你我、究竟高下。甚至，三教之間也只是因為整個世界觀及問題意識的不同而有系統相的差異，因此可以溝通融會卻不需辯證互難，這是筆者研究中國哲學的基本立場。本文之作，針對牟宗三先生的陽明學詮釋，提出討論的意見，基本上不同意牟先生依陽明意旨而批判程朱的立場，至於依陽明學旨而建立的圓教的形上學，筆者表示接受牟先生的新儒學的創作成果，但仍不同意他以這套系統為標準對程朱進行的誤解性批判意見。筆者對牟先生的儒學有全面的討論，本文即是其中論於陽明的部份，其餘的討論參見它文。</w:t>
      </w:r>
    </w:p>
    <w:p w:rsidR="00ED50B9" w:rsidRPr="00ED50B9" w:rsidRDefault="00ED50B9" w:rsidP="005A76CC">
      <w:pPr>
        <w:rPr>
          <w:rFonts w:ascii="新細明體" w:hAnsi="新細明體"/>
        </w:rPr>
      </w:pPr>
    </w:p>
    <w:sectPr w:rsidR="00ED50B9" w:rsidRPr="00ED50B9" w:rsidSect="006A401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CA" w:rsidRDefault="00C56DCA" w:rsidP="002922A7">
      <w:r>
        <w:separator/>
      </w:r>
    </w:p>
  </w:endnote>
  <w:endnote w:type="continuationSeparator" w:id="0">
    <w:p w:rsidR="00C56DCA" w:rsidRDefault="00C56DCA" w:rsidP="0029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CA" w:rsidRDefault="00C56DCA">
    <w:pPr>
      <w:pStyle w:val="ab"/>
      <w:jc w:val="center"/>
    </w:pPr>
    <w:r>
      <w:rPr>
        <w:b/>
        <w:bCs/>
      </w:rPr>
      <w:fldChar w:fldCharType="begin"/>
    </w:r>
    <w:r>
      <w:rPr>
        <w:b/>
        <w:bCs/>
      </w:rPr>
      <w:instrText>PAGE</w:instrText>
    </w:r>
    <w:r>
      <w:rPr>
        <w:b/>
        <w:bCs/>
      </w:rPr>
      <w:fldChar w:fldCharType="separate"/>
    </w:r>
    <w:r w:rsidR="004E6A03">
      <w:rPr>
        <w:b/>
        <w:bCs/>
        <w:noProof/>
      </w:rPr>
      <w:t>3</w:t>
    </w:r>
    <w:r>
      <w:rPr>
        <w:b/>
        <w:bCs/>
      </w:rPr>
      <w:fldChar w:fldCharType="end"/>
    </w:r>
    <w:r>
      <w:rPr>
        <w:rFonts w:hint="eastAsia"/>
        <w:lang w:val="zh-TW"/>
      </w:rPr>
      <w:t>的</w:t>
    </w:r>
    <w:r>
      <w:rPr>
        <w:b/>
        <w:bCs/>
      </w:rPr>
      <w:fldChar w:fldCharType="begin"/>
    </w:r>
    <w:r>
      <w:rPr>
        <w:b/>
        <w:bCs/>
      </w:rPr>
      <w:instrText>NUMPAGES</w:instrText>
    </w:r>
    <w:r>
      <w:rPr>
        <w:b/>
        <w:bCs/>
      </w:rPr>
      <w:fldChar w:fldCharType="separate"/>
    </w:r>
    <w:r w:rsidR="004E6A03">
      <w:rPr>
        <w:b/>
        <w:bCs/>
        <w:noProof/>
      </w:rPr>
      <w:t>8</w:t>
    </w:r>
    <w:r>
      <w:rPr>
        <w:b/>
        <w:bCs/>
      </w:rPr>
      <w:fldChar w:fldCharType="end"/>
    </w:r>
  </w:p>
  <w:p w:rsidR="00C56DCA" w:rsidRDefault="00C56D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CA" w:rsidRDefault="00C56DCA" w:rsidP="002922A7">
      <w:r>
        <w:separator/>
      </w:r>
    </w:p>
  </w:footnote>
  <w:footnote w:type="continuationSeparator" w:id="0">
    <w:p w:rsidR="00C56DCA" w:rsidRDefault="00C56DCA" w:rsidP="002922A7">
      <w:r>
        <w:continuationSeparator/>
      </w:r>
    </w:p>
  </w:footnote>
  <w:footnote w:id="1">
    <w:p w:rsidR="00C56DCA" w:rsidRDefault="00C56DCA">
      <w:pPr>
        <w:pStyle w:val="a4"/>
      </w:pPr>
      <w:r>
        <w:rPr>
          <w:rStyle w:val="a6"/>
        </w:rPr>
        <w:footnoteRef/>
      </w:r>
      <w:r w:rsidR="00E467EA">
        <w:rPr>
          <w:rFonts w:hint="eastAsia"/>
        </w:rPr>
        <w:t xml:space="preserve"> </w:t>
      </w:r>
      <w:r>
        <w:rPr>
          <w:rFonts w:hint="eastAsia"/>
        </w:rPr>
        <w:t>牟宗三《從陸象山到劉蕺山》，頁</w:t>
      </w:r>
      <w:r>
        <w:t>216</w:t>
      </w:r>
      <w:r>
        <w:rPr>
          <w:rFonts w:hint="eastAsia"/>
        </w:rPr>
        <w:t>。</w:t>
      </w:r>
    </w:p>
  </w:footnote>
  <w:footnote w:id="2">
    <w:p w:rsidR="00C56DCA" w:rsidRDefault="00C56DCA">
      <w:pPr>
        <w:pStyle w:val="a4"/>
      </w:pPr>
      <w:r>
        <w:rPr>
          <w:rStyle w:val="a6"/>
        </w:rPr>
        <w:footnoteRef/>
      </w:r>
      <w:r>
        <w:rPr>
          <w:rFonts w:hint="eastAsia"/>
        </w:rPr>
        <w:t xml:space="preserve"> </w:t>
      </w:r>
      <w:r>
        <w:rPr>
          <w:rFonts w:hint="eastAsia"/>
        </w:rPr>
        <w:t>牟宗三《從陸象山到劉蕺山》，頁</w:t>
      </w:r>
      <w:r>
        <w:t>216</w:t>
      </w:r>
      <w:r>
        <w:rPr>
          <w:rFonts w:hint="eastAsia"/>
        </w:rPr>
        <w:t>。</w:t>
      </w:r>
    </w:p>
  </w:footnote>
  <w:footnote w:id="3">
    <w:p w:rsidR="00C56DCA" w:rsidRDefault="00C56DCA">
      <w:pPr>
        <w:pStyle w:val="a4"/>
      </w:pPr>
      <w:r>
        <w:rPr>
          <w:rStyle w:val="a6"/>
        </w:rPr>
        <w:footnoteRef/>
      </w:r>
      <w:r>
        <w:rPr>
          <w:rFonts w:hint="eastAsia"/>
        </w:rPr>
        <w:t xml:space="preserve"> </w:t>
      </w:r>
      <w:r>
        <w:rPr>
          <w:rFonts w:hint="eastAsia"/>
        </w:rPr>
        <w:t>牟宗三《從陸象山到劉蕺山》，頁</w:t>
      </w:r>
      <w:r>
        <w:t>217~220</w:t>
      </w:r>
      <w:r>
        <w:rPr>
          <w:rFonts w:hint="eastAsia"/>
        </w:rPr>
        <w:t>。</w:t>
      </w:r>
    </w:p>
  </w:footnote>
  <w:footnote w:id="4">
    <w:p w:rsidR="00C56DCA" w:rsidRDefault="00C56DCA">
      <w:pPr>
        <w:pStyle w:val="a4"/>
      </w:pPr>
      <w:r>
        <w:rPr>
          <w:rStyle w:val="a6"/>
        </w:rPr>
        <w:footnoteRef/>
      </w:r>
      <w:r>
        <w:rPr>
          <w:rFonts w:hint="eastAsia"/>
        </w:rPr>
        <w:t xml:space="preserve"> </w:t>
      </w:r>
      <w:r>
        <w:rPr>
          <w:rFonts w:hint="eastAsia"/>
        </w:rPr>
        <w:t>牟宗三《從陸象山到劉蕺山》，頁</w:t>
      </w:r>
      <w:r>
        <w:t>223~224</w:t>
      </w:r>
      <w:r>
        <w:rPr>
          <w:rFonts w:hint="eastAsia"/>
        </w:rPr>
        <w:t>。</w:t>
      </w:r>
    </w:p>
  </w:footnote>
  <w:footnote w:id="5">
    <w:p w:rsidR="00C56DCA" w:rsidRDefault="00C56DCA">
      <w:pPr>
        <w:pStyle w:val="a4"/>
      </w:pPr>
      <w:r>
        <w:rPr>
          <w:rStyle w:val="a6"/>
        </w:rPr>
        <w:footnoteRef/>
      </w:r>
      <w:r w:rsidR="0062692D">
        <w:rPr>
          <w:rFonts w:hint="eastAsia"/>
        </w:rPr>
        <w:t xml:space="preserve"> </w:t>
      </w:r>
      <w:r>
        <w:rPr>
          <w:rFonts w:hint="eastAsia"/>
        </w:rPr>
        <w:t>牟宗三《從陸象山到劉蕺山》，頁</w:t>
      </w:r>
      <w:r>
        <w:t>225</w:t>
      </w:r>
      <w:r>
        <w:rPr>
          <w:rFonts w:hint="eastAsia"/>
        </w:rPr>
        <w:t>。</w:t>
      </w:r>
    </w:p>
  </w:footnote>
  <w:footnote w:id="6">
    <w:p w:rsidR="00C56DCA" w:rsidRDefault="00C56DCA">
      <w:pPr>
        <w:pStyle w:val="a4"/>
      </w:pPr>
      <w:r>
        <w:rPr>
          <w:rStyle w:val="a6"/>
        </w:rPr>
        <w:footnoteRef/>
      </w:r>
      <w:r w:rsidR="00CB7C28">
        <w:rPr>
          <w:rFonts w:hint="eastAsia"/>
        </w:rPr>
        <w:t xml:space="preserve"> </w:t>
      </w:r>
      <w:r>
        <w:rPr>
          <w:rFonts w:hint="eastAsia"/>
        </w:rPr>
        <w:t>牟宗三《從陸象山到劉蕺山》，頁</w:t>
      </w:r>
      <w:r>
        <w:t>241</w:t>
      </w:r>
      <w:r>
        <w:rPr>
          <w:rFonts w:hint="eastAsia"/>
        </w:rPr>
        <w:t>。</w:t>
      </w:r>
    </w:p>
  </w:footnote>
  <w:footnote w:id="7">
    <w:p w:rsidR="00CB7C28" w:rsidRDefault="00CB7C28">
      <w:pPr>
        <w:pStyle w:val="a4"/>
      </w:pPr>
      <w:r>
        <w:rPr>
          <w:rStyle w:val="a6"/>
        </w:rPr>
        <w:footnoteRef/>
      </w:r>
      <w:r>
        <w:rPr>
          <w:rFonts w:hint="eastAsia"/>
        </w:rPr>
        <w:t xml:space="preserve"> </w:t>
      </w:r>
      <w:r>
        <w:rPr>
          <w:rFonts w:hint="eastAsia"/>
        </w:rPr>
        <w:t>牟宗三《從陸象山到劉蕺山》，頁</w:t>
      </w:r>
      <w:r>
        <w:t>24</w:t>
      </w:r>
      <w:r>
        <w:rPr>
          <w:rFonts w:hint="eastAsia"/>
        </w:rPr>
        <w:t>2</w:t>
      </w:r>
      <w:r>
        <w:rPr>
          <w:rFonts w:hint="eastAsia"/>
        </w:rPr>
        <w:t>。</w:t>
      </w:r>
    </w:p>
  </w:footnote>
  <w:footnote w:id="8">
    <w:p w:rsidR="005F62C0" w:rsidRDefault="005F62C0">
      <w:pPr>
        <w:pStyle w:val="a4"/>
      </w:pPr>
      <w:r>
        <w:rPr>
          <w:rStyle w:val="a6"/>
        </w:rPr>
        <w:footnoteRef/>
      </w:r>
      <w:r>
        <w:rPr>
          <w:rFonts w:hint="eastAsia"/>
        </w:rPr>
        <w:t xml:space="preserve"> </w:t>
      </w:r>
      <w:r>
        <w:rPr>
          <w:rFonts w:hint="eastAsia"/>
        </w:rPr>
        <w:t>牟宗三《從陸象山到劉蕺山》，頁</w:t>
      </w:r>
      <w:r w:rsidRPr="00EB1035">
        <w:rPr>
          <w:szCs w:val="24"/>
        </w:rPr>
        <w:t>229~231</w:t>
      </w:r>
      <w:r>
        <w:rPr>
          <w:rFonts w:hint="eastAsia"/>
          <w:szCs w:val="24"/>
        </w:rPr>
        <w:t>。</w:t>
      </w:r>
    </w:p>
  </w:footnote>
  <w:footnote w:id="9">
    <w:p w:rsidR="002864E4" w:rsidRDefault="002864E4">
      <w:pPr>
        <w:pStyle w:val="a4"/>
      </w:pPr>
      <w:r>
        <w:rPr>
          <w:rStyle w:val="a6"/>
        </w:rPr>
        <w:footnoteRef/>
      </w:r>
      <w:r>
        <w:rPr>
          <w:rFonts w:hint="eastAsia"/>
        </w:rPr>
        <w:t xml:space="preserve"> </w:t>
      </w:r>
      <w:r>
        <w:rPr>
          <w:rFonts w:hint="eastAsia"/>
        </w:rPr>
        <w:t>牟宗三《從陸象山到劉蕺山》，頁</w:t>
      </w:r>
      <w:r>
        <w:rPr>
          <w:rFonts w:hint="eastAsia"/>
        </w:rPr>
        <w:t>246~247</w:t>
      </w:r>
      <w:r>
        <w:rPr>
          <w:rFonts w:hint="eastAsia"/>
        </w:rPr>
        <w:t>。</w:t>
      </w:r>
    </w:p>
  </w:footnote>
  <w:footnote w:id="10">
    <w:p w:rsidR="00384416" w:rsidRPr="00384416" w:rsidRDefault="00384416">
      <w:pPr>
        <w:pStyle w:val="a4"/>
      </w:pPr>
      <w:r>
        <w:rPr>
          <w:rStyle w:val="a6"/>
        </w:rPr>
        <w:footnoteRef/>
      </w:r>
      <w:r>
        <w:rPr>
          <w:rFonts w:hint="eastAsia"/>
        </w:rPr>
        <w:t xml:space="preserve"> </w:t>
      </w:r>
      <w:r>
        <w:rPr>
          <w:rFonts w:hint="eastAsia"/>
        </w:rPr>
        <w:t>牟宗三《從陸象山到劉蕺山》，頁</w:t>
      </w:r>
      <w:r>
        <w:t>2</w:t>
      </w:r>
      <w:r>
        <w:rPr>
          <w:rFonts w:hint="eastAsia"/>
        </w:rPr>
        <w:t>50~251</w:t>
      </w:r>
      <w:r>
        <w:rPr>
          <w:rFonts w:hint="eastAsia"/>
        </w:rPr>
        <w:t>。</w:t>
      </w:r>
    </w:p>
  </w:footnote>
  <w:footnote w:id="11">
    <w:p w:rsidR="004A3642" w:rsidRPr="004A3642" w:rsidRDefault="004A3642">
      <w:pPr>
        <w:pStyle w:val="a4"/>
      </w:pPr>
      <w:r>
        <w:rPr>
          <w:rStyle w:val="a6"/>
        </w:rPr>
        <w:footnoteRef/>
      </w:r>
      <w:r>
        <w:rPr>
          <w:rFonts w:hint="eastAsia"/>
        </w:rPr>
        <w:t xml:space="preserve"> </w:t>
      </w:r>
      <w:r>
        <w:rPr>
          <w:rFonts w:hint="eastAsia"/>
        </w:rPr>
        <w:t>牟宗三《從陸象山到劉蕺山》，頁</w:t>
      </w:r>
      <w:r>
        <w:t>2</w:t>
      </w:r>
      <w:r>
        <w:rPr>
          <w:rFonts w:hint="eastAsia"/>
        </w:rPr>
        <w:t>52~253</w:t>
      </w:r>
      <w:r>
        <w:rPr>
          <w:rFonts w:hint="eastAsia"/>
        </w:rPr>
        <w:t>。</w:t>
      </w:r>
    </w:p>
  </w:footnote>
  <w:footnote w:id="12">
    <w:p w:rsidR="00623467" w:rsidRDefault="00623467">
      <w:pPr>
        <w:pStyle w:val="a4"/>
      </w:pPr>
      <w:r>
        <w:rPr>
          <w:rStyle w:val="a6"/>
        </w:rPr>
        <w:footnoteRef/>
      </w:r>
      <w:r>
        <w:rPr>
          <w:rFonts w:hint="eastAsia"/>
        </w:rPr>
        <w:t>牟宗三《從陸象山到劉蕺山》，頁</w:t>
      </w:r>
      <w:r>
        <w:t>2</w:t>
      </w:r>
      <w:r>
        <w:rPr>
          <w:rFonts w:hint="eastAsia"/>
        </w:rPr>
        <w:t>5</w:t>
      </w:r>
      <w:r>
        <w:t>4</w:t>
      </w:r>
      <w:r>
        <w:rPr>
          <w:rFonts w:hint="eastAsia"/>
        </w:rPr>
        <w:t>~255</w:t>
      </w:r>
      <w:r>
        <w:rPr>
          <w:rFonts w:hint="eastAsia"/>
        </w:rPr>
        <w:t>。</w:t>
      </w:r>
    </w:p>
  </w:footnote>
  <w:footnote w:id="13">
    <w:p w:rsidR="001D7C09" w:rsidRDefault="001D7C09">
      <w:pPr>
        <w:pStyle w:val="a4"/>
      </w:pPr>
      <w:r>
        <w:rPr>
          <w:rStyle w:val="a6"/>
        </w:rPr>
        <w:footnoteRef/>
      </w:r>
      <w:r>
        <w:rPr>
          <w:rFonts w:hint="eastAsia"/>
        </w:rPr>
        <w:t xml:space="preserve"> </w:t>
      </w:r>
      <w:r>
        <w:rPr>
          <w:rFonts w:hint="eastAsia"/>
        </w:rPr>
        <w:t>牟宗三《從陸象山到劉蕺山》，頁</w:t>
      </w:r>
      <w:r>
        <w:t>2</w:t>
      </w:r>
      <w:r>
        <w:rPr>
          <w:rFonts w:hint="eastAsia"/>
        </w:rPr>
        <w:t>58~259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560"/>
    <w:multiLevelType w:val="hybridMultilevel"/>
    <w:tmpl w:val="0298E648"/>
    <w:lvl w:ilvl="0" w:tplc="16922230">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4F"/>
    <w:rsid w:val="00024197"/>
    <w:rsid w:val="00024CD3"/>
    <w:rsid w:val="00040ABA"/>
    <w:rsid w:val="00042DE6"/>
    <w:rsid w:val="000616D1"/>
    <w:rsid w:val="00073FE3"/>
    <w:rsid w:val="00076283"/>
    <w:rsid w:val="000C0006"/>
    <w:rsid w:val="000C211D"/>
    <w:rsid w:val="000C352A"/>
    <w:rsid w:val="000D6FFB"/>
    <w:rsid w:val="000D7882"/>
    <w:rsid w:val="001002BA"/>
    <w:rsid w:val="00103564"/>
    <w:rsid w:val="0011594C"/>
    <w:rsid w:val="00141AFB"/>
    <w:rsid w:val="00157761"/>
    <w:rsid w:val="00160AC1"/>
    <w:rsid w:val="0018694D"/>
    <w:rsid w:val="00196F84"/>
    <w:rsid w:val="001A296F"/>
    <w:rsid w:val="001A30C4"/>
    <w:rsid w:val="001B6AA7"/>
    <w:rsid w:val="001C01DA"/>
    <w:rsid w:val="001C38C7"/>
    <w:rsid w:val="001C5EE0"/>
    <w:rsid w:val="001C651F"/>
    <w:rsid w:val="001C78C6"/>
    <w:rsid w:val="001D44AC"/>
    <w:rsid w:val="001D6FD9"/>
    <w:rsid w:val="001D7C09"/>
    <w:rsid w:val="001D7C2E"/>
    <w:rsid w:val="001E34FD"/>
    <w:rsid w:val="001E4E9A"/>
    <w:rsid w:val="001E5ED9"/>
    <w:rsid w:val="001F4A69"/>
    <w:rsid w:val="00205909"/>
    <w:rsid w:val="00206AA2"/>
    <w:rsid w:val="002151CC"/>
    <w:rsid w:val="0021718B"/>
    <w:rsid w:val="00232964"/>
    <w:rsid w:val="0024194F"/>
    <w:rsid w:val="00257F8A"/>
    <w:rsid w:val="00275400"/>
    <w:rsid w:val="00276BD7"/>
    <w:rsid w:val="00277658"/>
    <w:rsid w:val="002864E4"/>
    <w:rsid w:val="002922A7"/>
    <w:rsid w:val="00296432"/>
    <w:rsid w:val="002A083A"/>
    <w:rsid w:val="002C6414"/>
    <w:rsid w:val="002C7218"/>
    <w:rsid w:val="002E4AC8"/>
    <w:rsid w:val="002F1258"/>
    <w:rsid w:val="002F3A1D"/>
    <w:rsid w:val="00305638"/>
    <w:rsid w:val="003078EC"/>
    <w:rsid w:val="00316D98"/>
    <w:rsid w:val="00316F9F"/>
    <w:rsid w:val="0032383E"/>
    <w:rsid w:val="003274CF"/>
    <w:rsid w:val="00346C25"/>
    <w:rsid w:val="0035383F"/>
    <w:rsid w:val="00373857"/>
    <w:rsid w:val="00374164"/>
    <w:rsid w:val="00384416"/>
    <w:rsid w:val="00384F0F"/>
    <w:rsid w:val="003A2F3D"/>
    <w:rsid w:val="003A6DCC"/>
    <w:rsid w:val="003D3C11"/>
    <w:rsid w:val="003F04D4"/>
    <w:rsid w:val="00405400"/>
    <w:rsid w:val="004079CC"/>
    <w:rsid w:val="00407D68"/>
    <w:rsid w:val="00410B02"/>
    <w:rsid w:val="00425099"/>
    <w:rsid w:val="00435A33"/>
    <w:rsid w:val="00450514"/>
    <w:rsid w:val="00453CC3"/>
    <w:rsid w:val="0047279C"/>
    <w:rsid w:val="0047676E"/>
    <w:rsid w:val="0048016F"/>
    <w:rsid w:val="004803A5"/>
    <w:rsid w:val="004849E5"/>
    <w:rsid w:val="0049696F"/>
    <w:rsid w:val="004A3642"/>
    <w:rsid w:val="004A460D"/>
    <w:rsid w:val="004B131F"/>
    <w:rsid w:val="004D1982"/>
    <w:rsid w:val="004D436B"/>
    <w:rsid w:val="004D62E0"/>
    <w:rsid w:val="004D764E"/>
    <w:rsid w:val="004E6A03"/>
    <w:rsid w:val="004E77A3"/>
    <w:rsid w:val="00517AAE"/>
    <w:rsid w:val="0052104F"/>
    <w:rsid w:val="00534053"/>
    <w:rsid w:val="00541309"/>
    <w:rsid w:val="00593B54"/>
    <w:rsid w:val="00595E84"/>
    <w:rsid w:val="005A738A"/>
    <w:rsid w:val="005A76CC"/>
    <w:rsid w:val="005F144F"/>
    <w:rsid w:val="005F61DC"/>
    <w:rsid w:val="005F62C0"/>
    <w:rsid w:val="006202F9"/>
    <w:rsid w:val="00620B91"/>
    <w:rsid w:val="00622D08"/>
    <w:rsid w:val="00623346"/>
    <w:rsid w:val="00623467"/>
    <w:rsid w:val="0062692D"/>
    <w:rsid w:val="006300F4"/>
    <w:rsid w:val="00637B9E"/>
    <w:rsid w:val="00641253"/>
    <w:rsid w:val="00653E0B"/>
    <w:rsid w:val="00661857"/>
    <w:rsid w:val="00666E5D"/>
    <w:rsid w:val="00683A9F"/>
    <w:rsid w:val="00687C6E"/>
    <w:rsid w:val="006939CD"/>
    <w:rsid w:val="00693A2C"/>
    <w:rsid w:val="006A4015"/>
    <w:rsid w:val="006E4E5B"/>
    <w:rsid w:val="0070119B"/>
    <w:rsid w:val="0070195C"/>
    <w:rsid w:val="00702F12"/>
    <w:rsid w:val="007169BE"/>
    <w:rsid w:val="00723BBD"/>
    <w:rsid w:val="007258C1"/>
    <w:rsid w:val="00790BFA"/>
    <w:rsid w:val="00791176"/>
    <w:rsid w:val="0079783A"/>
    <w:rsid w:val="007A1DB5"/>
    <w:rsid w:val="007B439E"/>
    <w:rsid w:val="007B6DF2"/>
    <w:rsid w:val="007C3986"/>
    <w:rsid w:val="007E4DB8"/>
    <w:rsid w:val="00812363"/>
    <w:rsid w:val="008161F7"/>
    <w:rsid w:val="00832A5C"/>
    <w:rsid w:val="00870247"/>
    <w:rsid w:val="008721A5"/>
    <w:rsid w:val="00873E17"/>
    <w:rsid w:val="00883B5E"/>
    <w:rsid w:val="008A2E8D"/>
    <w:rsid w:val="008A486C"/>
    <w:rsid w:val="008A55A0"/>
    <w:rsid w:val="008D21E9"/>
    <w:rsid w:val="008D383E"/>
    <w:rsid w:val="008E136D"/>
    <w:rsid w:val="008E2843"/>
    <w:rsid w:val="008E4D9A"/>
    <w:rsid w:val="008F50C5"/>
    <w:rsid w:val="009031EC"/>
    <w:rsid w:val="00905AE8"/>
    <w:rsid w:val="00907CD3"/>
    <w:rsid w:val="0091648C"/>
    <w:rsid w:val="00924D6C"/>
    <w:rsid w:val="00945BDC"/>
    <w:rsid w:val="00965512"/>
    <w:rsid w:val="009800EE"/>
    <w:rsid w:val="00980EF5"/>
    <w:rsid w:val="009A104B"/>
    <w:rsid w:val="009A3876"/>
    <w:rsid w:val="009A47C5"/>
    <w:rsid w:val="009B0B4D"/>
    <w:rsid w:val="009C1D86"/>
    <w:rsid w:val="009D51F9"/>
    <w:rsid w:val="009D7F77"/>
    <w:rsid w:val="009E1E96"/>
    <w:rsid w:val="009E3EA2"/>
    <w:rsid w:val="009F35EB"/>
    <w:rsid w:val="00A02FA9"/>
    <w:rsid w:val="00A03008"/>
    <w:rsid w:val="00A2248E"/>
    <w:rsid w:val="00A445AF"/>
    <w:rsid w:val="00A67E84"/>
    <w:rsid w:val="00A941E4"/>
    <w:rsid w:val="00AB05EB"/>
    <w:rsid w:val="00AC2817"/>
    <w:rsid w:val="00AC4F38"/>
    <w:rsid w:val="00AD04EB"/>
    <w:rsid w:val="00AE21FC"/>
    <w:rsid w:val="00AE3358"/>
    <w:rsid w:val="00AF1CC1"/>
    <w:rsid w:val="00AF3699"/>
    <w:rsid w:val="00AF591E"/>
    <w:rsid w:val="00AF7A85"/>
    <w:rsid w:val="00B01462"/>
    <w:rsid w:val="00B22C6F"/>
    <w:rsid w:val="00B24A68"/>
    <w:rsid w:val="00B27931"/>
    <w:rsid w:val="00B32D49"/>
    <w:rsid w:val="00B447C8"/>
    <w:rsid w:val="00B46B69"/>
    <w:rsid w:val="00B96A5E"/>
    <w:rsid w:val="00BA502A"/>
    <w:rsid w:val="00BA5F66"/>
    <w:rsid w:val="00BC50CA"/>
    <w:rsid w:val="00BD1E65"/>
    <w:rsid w:val="00BD5EAA"/>
    <w:rsid w:val="00BF6794"/>
    <w:rsid w:val="00C16268"/>
    <w:rsid w:val="00C16991"/>
    <w:rsid w:val="00C214E6"/>
    <w:rsid w:val="00C34E91"/>
    <w:rsid w:val="00C56DCA"/>
    <w:rsid w:val="00C56E92"/>
    <w:rsid w:val="00C57E52"/>
    <w:rsid w:val="00C64B1D"/>
    <w:rsid w:val="00C85D90"/>
    <w:rsid w:val="00CA4B56"/>
    <w:rsid w:val="00CB7C28"/>
    <w:rsid w:val="00CC534C"/>
    <w:rsid w:val="00CD2E09"/>
    <w:rsid w:val="00CE287A"/>
    <w:rsid w:val="00CF2AF3"/>
    <w:rsid w:val="00D0197C"/>
    <w:rsid w:val="00D10957"/>
    <w:rsid w:val="00D147F8"/>
    <w:rsid w:val="00D246B6"/>
    <w:rsid w:val="00D34471"/>
    <w:rsid w:val="00D36198"/>
    <w:rsid w:val="00D36D03"/>
    <w:rsid w:val="00D42D81"/>
    <w:rsid w:val="00D451D7"/>
    <w:rsid w:val="00D55B18"/>
    <w:rsid w:val="00D65C7C"/>
    <w:rsid w:val="00D81301"/>
    <w:rsid w:val="00D81C06"/>
    <w:rsid w:val="00D94C45"/>
    <w:rsid w:val="00D94F52"/>
    <w:rsid w:val="00DA0EBD"/>
    <w:rsid w:val="00DA7E14"/>
    <w:rsid w:val="00DB732A"/>
    <w:rsid w:val="00DB78EE"/>
    <w:rsid w:val="00DD4112"/>
    <w:rsid w:val="00DD5005"/>
    <w:rsid w:val="00DE259A"/>
    <w:rsid w:val="00DF0ABB"/>
    <w:rsid w:val="00DF1FA2"/>
    <w:rsid w:val="00DF4B9E"/>
    <w:rsid w:val="00DF6FE6"/>
    <w:rsid w:val="00E007EE"/>
    <w:rsid w:val="00E01510"/>
    <w:rsid w:val="00E0744F"/>
    <w:rsid w:val="00E173C5"/>
    <w:rsid w:val="00E255AA"/>
    <w:rsid w:val="00E3046B"/>
    <w:rsid w:val="00E31927"/>
    <w:rsid w:val="00E347F8"/>
    <w:rsid w:val="00E34BE6"/>
    <w:rsid w:val="00E418C3"/>
    <w:rsid w:val="00E42E82"/>
    <w:rsid w:val="00E467EA"/>
    <w:rsid w:val="00E72919"/>
    <w:rsid w:val="00E849E4"/>
    <w:rsid w:val="00E931F5"/>
    <w:rsid w:val="00E93B23"/>
    <w:rsid w:val="00E9799F"/>
    <w:rsid w:val="00EA5E69"/>
    <w:rsid w:val="00EB1035"/>
    <w:rsid w:val="00EC026F"/>
    <w:rsid w:val="00ED50B9"/>
    <w:rsid w:val="00ED616E"/>
    <w:rsid w:val="00EE162F"/>
    <w:rsid w:val="00EE4A74"/>
    <w:rsid w:val="00F02149"/>
    <w:rsid w:val="00F21DB0"/>
    <w:rsid w:val="00F23D1B"/>
    <w:rsid w:val="00F30424"/>
    <w:rsid w:val="00F41DF6"/>
    <w:rsid w:val="00F4476A"/>
    <w:rsid w:val="00F60F19"/>
    <w:rsid w:val="00F62B86"/>
    <w:rsid w:val="00F63712"/>
    <w:rsid w:val="00F67C2D"/>
    <w:rsid w:val="00F7037B"/>
    <w:rsid w:val="00F713C1"/>
    <w:rsid w:val="00F763F8"/>
    <w:rsid w:val="00F80143"/>
    <w:rsid w:val="00F9198F"/>
    <w:rsid w:val="00F94886"/>
    <w:rsid w:val="00F952D6"/>
    <w:rsid w:val="00FA16A7"/>
    <w:rsid w:val="00FA4257"/>
    <w:rsid w:val="00FA5EF7"/>
    <w:rsid w:val="00FB7F57"/>
    <w:rsid w:val="00FC27FC"/>
    <w:rsid w:val="00FC2E03"/>
    <w:rsid w:val="00FD3B92"/>
    <w:rsid w:val="00FD49B9"/>
    <w:rsid w:val="00FD63E2"/>
    <w:rsid w:val="00FE1910"/>
    <w:rsid w:val="00FE4891"/>
    <w:rsid w:val="00FE5D39"/>
    <w:rsid w:val="00FE6E7A"/>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15"/>
    <w:pPr>
      <w:widowControl w:val="0"/>
    </w:pPr>
  </w:style>
  <w:style w:type="paragraph" w:styleId="2">
    <w:name w:val="heading 2"/>
    <w:basedOn w:val="a"/>
    <w:next w:val="a"/>
    <w:link w:val="20"/>
    <w:uiPriority w:val="99"/>
    <w:qFormat/>
    <w:rsid w:val="00DB732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DB732A"/>
    <w:rPr>
      <w:rFonts w:ascii="Cambria" w:eastAsia="新細明體" w:hAnsi="Cambria" w:cs="Times New Roman"/>
      <w:b/>
      <w:bCs/>
      <w:sz w:val="48"/>
      <w:szCs w:val="48"/>
    </w:rPr>
  </w:style>
  <w:style w:type="paragraph" w:styleId="a3">
    <w:name w:val="List Paragraph"/>
    <w:basedOn w:val="a"/>
    <w:uiPriority w:val="99"/>
    <w:qFormat/>
    <w:rsid w:val="00687C6E"/>
    <w:pPr>
      <w:ind w:leftChars="200" w:left="480"/>
    </w:pPr>
  </w:style>
  <w:style w:type="paragraph" w:styleId="a4">
    <w:name w:val="footnote text"/>
    <w:basedOn w:val="a"/>
    <w:link w:val="a5"/>
    <w:uiPriority w:val="99"/>
    <w:semiHidden/>
    <w:rsid w:val="002922A7"/>
    <w:pPr>
      <w:snapToGrid w:val="0"/>
    </w:pPr>
    <w:rPr>
      <w:sz w:val="20"/>
      <w:szCs w:val="20"/>
    </w:rPr>
  </w:style>
  <w:style w:type="character" w:customStyle="1" w:styleId="a5">
    <w:name w:val="註腳文字 字元"/>
    <w:basedOn w:val="a0"/>
    <w:link w:val="a4"/>
    <w:uiPriority w:val="99"/>
    <w:semiHidden/>
    <w:rsid w:val="002922A7"/>
    <w:rPr>
      <w:rFonts w:cs="Times New Roman"/>
      <w:sz w:val="20"/>
      <w:szCs w:val="20"/>
    </w:rPr>
  </w:style>
  <w:style w:type="character" w:styleId="a6">
    <w:name w:val="footnote reference"/>
    <w:basedOn w:val="a0"/>
    <w:uiPriority w:val="99"/>
    <w:semiHidden/>
    <w:rsid w:val="002922A7"/>
    <w:rPr>
      <w:rFonts w:cs="Times New Roman"/>
      <w:vertAlign w:val="superscript"/>
    </w:rPr>
  </w:style>
  <w:style w:type="paragraph" w:styleId="a7">
    <w:name w:val="Balloon Text"/>
    <w:basedOn w:val="a"/>
    <w:link w:val="a8"/>
    <w:uiPriority w:val="99"/>
    <w:semiHidden/>
    <w:rsid w:val="00883B5E"/>
    <w:rPr>
      <w:rFonts w:ascii="Cambria" w:hAnsi="Cambria"/>
      <w:sz w:val="18"/>
      <w:szCs w:val="18"/>
    </w:rPr>
  </w:style>
  <w:style w:type="character" w:customStyle="1" w:styleId="a8">
    <w:name w:val="註解方塊文字 字元"/>
    <w:basedOn w:val="a0"/>
    <w:link w:val="a7"/>
    <w:uiPriority w:val="99"/>
    <w:semiHidden/>
    <w:rsid w:val="00883B5E"/>
    <w:rPr>
      <w:rFonts w:ascii="Cambria" w:eastAsia="新細明體" w:hAnsi="Cambria" w:cs="Times New Roman"/>
      <w:sz w:val="18"/>
      <w:szCs w:val="18"/>
    </w:rPr>
  </w:style>
  <w:style w:type="paragraph" w:styleId="a9">
    <w:name w:val="header"/>
    <w:basedOn w:val="a"/>
    <w:link w:val="aa"/>
    <w:uiPriority w:val="99"/>
    <w:rsid w:val="00FA16A7"/>
    <w:pPr>
      <w:tabs>
        <w:tab w:val="center" w:pos="4153"/>
        <w:tab w:val="right" w:pos="8306"/>
      </w:tabs>
      <w:snapToGrid w:val="0"/>
    </w:pPr>
    <w:rPr>
      <w:sz w:val="20"/>
      <w:szCs w:val="20"/>
    </w:rPr>
  </w:style>
  <w:style w:type="character" w:customStyle="1" w:styleId="aa">
    <w:name w:val="頁首 字元"/>
    <w:basedOn w:val="a0"/>
    <w:link w:val="a9"/>
    <w:uiPriority w:val="99"/>
    <w:rsid w:val="00FA16A7"/>
    <w:rPr>
      <w:rFonts w:cs="Times New Roman"/>
      <w:sz w:val="20"/>
      <w:szCs w:val="20"/>
    </w:rPr>
  </w:style>
  <w:style w:type="paragraph" w:styleId="ab">
    <w:name w:val="footer"/>
    <w:basedOn w:val="a"/>
    <w:link w:val="ac"/>
    <w:uiPriority w:val="99"/>
    <w:rsid w:val="00FA16A7"/>
    <w:pPr>
      <w:tabs>
        <w:tab w:val="center" w:pos="4153"/>
        <w:tab w:val="right" w:pos="8306"/>
      </w:tabs>
      <w:snapToGrid w:val="0"/>
    </w:pPr>
    <w:rPr>
      <w:sz w:val="20"/>
      <w:szCs w:val="20"/>
    </w:rPr>
  </w:style>
  <w:style w:type="character" w:customStyle="1" w:styleId="ac">
    <w:name w:val="頁尾 字元"/>
    <w:basedOn w:val="a0"/>
    <w:link w:val="ab"/>
    <w:uiPriority w:val="99"/>
    <w:rsid w:val="00FA16A7"/>
    <w:rPr>
      <w:rFonts w:cs="Times New Roman"/>
      <w:sz w:val="20"/>
      <w:szCs w:val="20"/>
    </w:rPr>
  </w:style>
  <w:style w:type="paragraph" w:styleId="ad">
    <w:name w:val="Title"/>
    <w:basedOn w:val="a"/>
    <w:next w:val="a"/>
    <w:link w:val="ae"/>
    <w:uiPriority w:val="99"/>
    <w:qFormat/>
    <w:rsid w:val="00DB732A"/>
    <w:pPr>
      <w:spacing w:before="240" w:after="60"/>
      <w:jc w:val="center"/>
      <w:outlineLvl w:val="0"/>
    </w:pPr>
    <w:rPr>
      <w:rFonts w:ascii="Cambria" w:hAnsi="Cambria"/>
      <w:b/>
      <w:bCs/>
      <w:sz w:val="32"/>
      <w:szCs w:val="32"/>
    </w:rPr>
  </w:style>
  <w:style w:type="character" w:customStyle="1" w:styleId="ae">
    <w:name w:val="標題 字元"/>
    <w:basedOn w:val="a0"/>
    <w:link w:val="ad"/>
    <w:uiPriority w:val="99"/>
    <w:rsid w:val="00DB732A"/>
    <w:rPr>
      <w:rFonts w:ascii="Cambria" w:eastAsia="新細明體" w:hAnsi="Cambria" w:cs="Times New Roman"/>
      <w:b/>
      <w:bCs/>
      <w:sz w:val="32"/>
      <w:szCs w:val="32"/>
    </w:rPr>
  </w:style>
  <w:style w:type="paragraph" w:styleId="af">
    <w:name w:val="Intense Quote"/>
    <w:basedOn w:val="a"/>
    <w:next w:val="a"/>
    <w:link w:val="af0"/>
    <w:uiPriority w:val="99"/>
    <w:qFormat/>
    <w:rsid w:val="007E4DB8"/>
    <w:pPr>
      <w:pBdr>
        <w:bottom w:val="single" w:sz="4" w:space="4" w:color="4F81BD"/>
      </w:pBdr>
      <w:spacing w:before="200" w:after="280"/>
      <w:ind w:left="936" w:right="936"/>
    </w:pPr>
    <w:rPr>
      <w:b/>
      <w:bCs/>
      <w:i/>
      <w:iCs/>
      <w:color w:val="4F81BD"/>
    </w:rPr>
  </w:style>
  <w:style w:type="character" w:customStyle="1" w:styleId="af0">
    <w:name w:val="鮮明引文 字元"/>
    <w:basedOn w:val="a0"/>
    <w:link w:val="af"/>
    <w:uiPriority w:val="99"/>
    <w:rsid w:val="007E4DB8"/>
    <w:rPr>
      <w:rFonts w:cs="Times New Roman"/>
      <w:b/>
      <w:bCs/>
      <w:i/>
      <w:iCs/>
      <w:color w:val="4F81BD"/>
    </w:rPr>
  </w:style>
  <w:style w:type="paragraph" w:styleId="af1">
    <w:name w:val="Quote"/>
    <w:basedOn w:val="a"/>
    <w:next w:val="a"/>
    <w:link w:val="af2"/>
    <w:uiPriority w:val="99"/>
    <w:qFormat/>
    <w:rsid w:val="007B439E"/>
    <w:rPr>
      <w:i/>
      <w:iCs/>
      <w:color w:val="000000"/>
    </w:rPr>
  </w:style>
  <w:style w:type="character" w:customStyle="1" w:styleId="af2">
    <w:name w:val="引文 字元"/>
    <w:basedOn w:val="a0"/>
    <w:link w:val="af1"/>
    <w:uiPriority w:val="99"/>
    <w:rsid w:val="007B439E"/>
    <w:rPr>
      <w:rFonts w:cs="Times New Roman"/>
      <w:i/>
      <w:iCs/>
      <w:color w:val="000000"/>
    </w:rPr>
  </w:style>
  <w:style w:type="character" w:styleId="af3">
    <w:name w:val="annotation reference"/>
    <w:basedOn w:val="a0"/>
    <w:uiPriority w:val="99"/>
    <w:semiHidden/>
    <w:rsid w:val="008721A5"/>
    <w:rPr>
      <w:rFonts w:cs="Times New Roman"/>
      <w:sz w:val="18"/>
      <w:szCs w:val="18"/>
    </w:rPr>
  </w:style>
  <w:style w:type="paragraph" w:styleId="af4">
    <w:name w:val="annotation text"/>
    <w:basedOn w:val="a"/>
    <w:link w:val="af5"/>
    <w:uiPriority w:val="99"/>
    <w:semiHidden/>
    <w:rsid w:val="008721A5"/>
  </w:style>
  <w:style w:type="character" w:customStyle="1" w:styleId="af5">
    <w:name w:val="註解文字 字元"/>
    <w:basedOn w:val="a0"/>
    <w:link w:val="af4"/>
    <w:uiPriority w:val="99"/>
    <w:semiHidden/>
    <w:rsid w:val="008721A5"/>
    <w:rPr>
      <w:rFonts w:cs="Times New Roman"/>
    </w:rPr>
  </w:style>
  <w:style w:type="paragraph" w:styleId="af6">
    <w:name w:val="annotation subject"/>
    <w:basedOn w:val="af4"/>
    <w:next w:val="af4"/>
    <w:link w:val="af7"/>
    <w:uiPriority w:val="99"/>
    <w:semiHidden/>
    <w:rsid w:val="008721A5"/>
    <w:rPr>
      <w:b/>
      <w:bCs/>
    </w:rPr>
  </w:style>
  <w:style w:type="character" w:customStyle="1" w:styleId="af7">
    <w:name w:val="註解主旨 字元"/>
    <w:basedOn w:val="af5"/>
    <w:link w:val="af6"/>
    <w:uiPriority w:val="99"/>
    <w:semiHidden/>
    <w:rsid w:val="008721A5"/>
    <w:rPr>
      <w:rFonts w:cs="Times New Roman"/>
      <w:b/>
      <w:bCs/>
    </w:rPr>
  </w:style>
  <w:style w:type="character" w:styleId="af8">
    <w:name w:val="Hyperlink"/>
    <w:uiPriority w:val="99"/>
    <w:semiHidden/>
    <w:unhideWhenUsed/>
    <w:rsid w:val="00F021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15"/>
    <w:pPr>
      <w:widowControl w:val="0"/>
    </w:pPr>
  </w:style>
  <w:style w:type="paragraph" w:styleId="2">
    <w:name w:val="heading 2"/>
    <w:basedOn w:val="a"/>
    <w:next w:val="a"/>
    <w:link w:val="20"/>
    <w:uiPriority w:val="99"/>
    <w:qFormat/>
    <w:rsid w:val="00DB732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DB732A"/>
    <w:rPr>
      <w:rFonts w:ascii="Cambria" w:eastAsia="新細明體" w:hAnsi="Cambria" w:cs="Times New Roman"/>
      <w:b/>
      <w:bCs/>
      <w:sz w:val="48"/>
      <w:szCs w:val="48"/>
    </w:rPr>
  </w:style>
  <w:style w:type="paragraph" w:styleId="a3">
    <w:name w:val="List Paragraph"/>
    <w:basedOn w:val="a"/>
    <w:uiPriority w:val="99"/>
    <w:qFormat/>
    <w:rsid w:val="00687C6E"/>
    <w:pPr>
      <w:ind w:leftChars="200" w:left="480"/>
    </w:pPr>
  </w:style>
  <w:style w:type="paragraph" w:styleId="a4">
    <w:name w:val="footnote text"/>
    <w:basedOn w:val="a"/>
    <w:link w:val="a5"/>
    <w:uiPriority w:val="99"/>
    <w:semiHidden/>
    <w:rsid w:val="002922A7"/>
    <w:pPr>
      <w:snapToGrid w:val="0"/>
    </w:pPr>
    <w:rPr>
      <w:sz w:val="20"/>
      <w:szCs w:val="20"/>
    </w:rPr>
  </w:style>
  <w:style w:type="character" w:customStyle="1" w:styleId="a5">
    <w:name w:val="註腳文字 字元"/>
    <w:basedOn w:val="a0"/>
    <w:link w:val="a4"/>
    <w:uiPriority w:val="99"/>
    <w:semiHidden/>
    <w:rsid w:val="002922A7"/>
    <w:rPr>
      <w:rFonts w:cs="Times New Roman"/>
      <w:sz w:val="20"/>
      <w:szCs w:val="20"/>
    </w:rPr>
  </w:style>
  <w:style w:type="character" w:styleId="a6">
    <w:name w:val="footnote reference"/>
    <w:basedOn w:val="a0"/>
    <w:uiPriority w:val="99"/>
    <w:semiHidden/>
    <w:rsid w:val="002922A7"/>
    <w:rPr>
      <w:rFonts w:cs="Times New Roman"/>
      <w:vertAlign w:val="superscript"/>
    </w:rPr>
  </w:style>
  <w:style w:type="paragraph" w:styleId="a7">
    <w:name w:val="Balloon Text"/>
    <w:basedOn w:val="a"/>
    <w:link w:val="a8"/>
    <w:uiPriority w:val="99"/>
    <w:semiHidden/>
    <w:rsid w:val="00883B5E"/>
    <w:rPr>
      <w:rFonts w:ascii="Cambria" w:hAnsi="Cambria"/>
      <w:sz w:val="18"/>
      <w:szCs w:val="18"/>
    </w:rPr>
  </w:style>
  <w:style w:type="character" w:customStyle="1" w:styleId="a8">
    <w:name w:val="註解方塊文字 字元"/>
    <w:basedOn w:val="a0"/>
    <w:link w:val="a7"/>
    <w:uiPriority w:val="99"/>
    <w:semiHidden/>
    <w:rsid w:val="00883B5E"/>
    <w:rPr>
      <w:rFonts w:ascii="Cambria" w:eastAsia="新細明體" w:hAnsi="Cambria" w:cs="Times New Roman"/>
      <w:sz w:val="18"/>
      <w:szCs w:val="18"/>
    </w:rPr>
  </w:style>
  <w:style w:type="paragraph" w:styleId="a9">
    <w:name w:val="header"/>
    <w:basedOn w:val="a"/>
    <w:link w:val="aa"/>
    <w:uiPriority w:val="99"/>
    <w:rsid w:val="00FA16A7"/>
    <w:pPr>
      <w:tabs>
        <w:tab w:val="center" w:pos="4153"/>
        <w:tab w:val="right" w:pos="8306"/>
      </w:tabs>
      <w:snapToGrid w:val="0"/>
    </w:pPr>
    <w:rPr>
      <w:sz w:val="20"/>
      <w:szCs w:val="20"/>
    </w:rPr>
  </w:style>
  <w:style w:type="character" w:customStyle="1" w:styleId="aa">
    <w:name w:val="頁首 字元"/>
    <w:basedOn w:val="a0"/>
    <w:link w:val="a9"/>
    <w:uiPriority w:val="99"/>
    <w:rsid w:val="00FA16A7"/>
    <w:rPr>
      <w:rFonts w:cs="Times New Roman"/>
      <w:sz w:val="20"/>
      <w:szCs w:val="20"/>
    </w:rPr>
  </w:style>
  <w:style w:type="paragraph" w:styleId="ab">
    <w:name w:val="footer"/>
    <w:basedOn w:val="a"/>
    <w:link w:val="ac"/>
    <w:uiPriority w:val="99"/>
    <w:rsid w:val="00FA16A7"/>
    <w:pPr>
      <w:tabs>
        <w:tab w:val="center" w:pos="4153"/>
        <w:tab w:val="right" w:pos="8306"/>
      </w:tabs>
      <w:snapToGrid w:val="0"/>
    </w:pPr>
    <w:rPr>
      <w:sz w:val="20"/>
      <w:szCs w:val="20"/>
    </w:rPr>
  </w:style>
  <w:style w:type="character" w:customStyle="1" w:styleId="ac">
    <w:name w:val="頁尾 字元"/>
    <w:basedOn w:val="a0"/>
    <w:link w:val="ab"/>
    <w:uiPriority w:val="99"/>
    <w:rsid w:val="00FA16A7"/>
    <w:rPr>
      <w:rFonts w:cs="Times New Roman"/>
      <w:sz w:val="20"/>
      <w:szCs w:val="20"/>
    </w:rPr>
  </w:style>
  <w:style w:type="paragraph" w:styleId="ad">
    <w:name w:val="Title"/>
    <w:basedOn w:val="a"/>
    <w:next w:val="a"/>
    <w:link w:val="ae"/>
    <w:uiPriority w:val="99"/>
    <w:qFormat/>
    <w:rsid w:val="00DB732A"/>
    <w:pPr>
      <w:spacing w:before="240" w:after="60"/>
      <w:jc w:val="center"/>
      <w:outlineLvl w:val="0"/>
    </w:pPr>
    <w:rPr>
      <w:rFonts w:ascii="Cambria" w:hAnsi="Cambria"/>
      <w:b/>
      <w:bCs/>
      <w:sz w:val="32"/>
      <w:szCs w:val="32"/>
    </w:rPr>
  </w:style>
  <w:style w:type="character" w:customStyle="1" w:styleId="ae">
    <w:name w:val="標題 字元"/>
    <w:basedOn w:val="a0"/>
    <w:link w:val="ad"/>
    <w:uiPriority w:val="99"/>
    <w:rsid w:val="00DB732A"/>
    <w:rPr>
      <w:rFonts w:ascii="Cambria" w:eastAsia="新細明體" w:hAnsi="Cambria" w:cs="Times New Roman"/>
      <w:b/>
      <w:bCs/>
      <w:sz w:val="32"/>
      <w:szCs w:val="32"/>
    </w:rPr>
  </w:style>
  <w:style w:type="paragraph" w:styleId="af">
    <w:name w:val="Intense Quote"/>
    <w:basedOn w:val="a"/>
    <w:next w:val="a"/>
    <w:link w:val="af0"/>
    <w:uiPriority w:val="99"/>
    <w:qFormat/>
    <w:rsid w:val="007E4DB8"/>
    <w:pPr>
      <w:pBdr>
        <w:bottom w:val="single" w:sz="4" w:space="4" w:color="4F81BD"/>
      </w:pBdr>
      <w:spacing w:before="200" w:after="280"/>
      <w:ind w:left="936" w:right="936"/>
    </w:pPr>
    <w:rPr>
      <w:b/>
      <w:bCs/>
      <w:i/>
      <w:iCs/>
      <w:color w:val="4F81BD"/>
    </w:rPr>
  </w:style>
  <w:style w:type="character" w:customStyle="1" w:styleId="af0">
    <w:name w:val="鮮明引文 字元"/>
    <w:basedOn w:val="a0"/>
    <w:link w:val="af"/>
    <w:uiPriority w:val="99"/>
    <w:rsid w:val="007E4DB8"/>
    <w:rPr>
      <w:rFonts w:cs="Times New Roman"/>
      <w:b/>
      <w:bCs/>
      <w:i/>
      <w:iCs/>
      <w:color w:val="4F81BD"/>
    </w:rPr>
  </w:style>
  <w:style w:type="paragraph" w:styleId="af1">
    <w:name w:val="Quote"/>
    <w:basedOn w:val="a"/>
    <w:next w:val="a"/>
    <w:link w:val="af2"/>
    <w:uiPriority w:val="99"/>
    <w:qFormat/>
    <w:rsid w:val="007B439E"/>
    <w:rPr>
      <w:i/>
      <w:iCs/>
      <w:color w:val="000000"/>
    </w:rPr>
  </w:style>
  <w:style w:type="character" w:customStyle="1" w:styleId="af2">
    <w:name w:val="引文 字元"/>
    <w:basedOn w:val="a0"/>
    <w:link w:val="af1"/>
    <w:uiPriority w:val="99"/>
    <w:rsid w:val="007B439E"/>
    <w:rPr>
      <w:rFonts w:cs="Times New Roman"/>
      <w:i/>
      <w:iCs/>
      <w:color w:val="000000"/>
    </w:rPr>
  </w:style>
  <w:style w:type="character" w:styleId="af3">
    <w:name w:val="annotation reference"/>
    <w:basedOn w:val="a0"/>
    <w:uiPriority w:val="99"/>
    <w:semiHidden/>
    <w:rsid w:val="008721A5"/>
    <w:rPr>
      <w:rFonts w:cs="Times New Roman"/>
      <w:sz w:val="18"/>
      <w:szCs w:val="18"/>
    </w:rPr>
  </w:style>
  <w:style w:type="paragraph" w:styleId="af4">
    <w:name w:val="annotation text"/>
    <w:basedOn w:val="a"/>
    <w:link w:val="af5"/>
    <w:uiPriority w:val="99"/>
    <w:semiHidden/>
    <w:rsid w:val="008721A5"/>
  </w:style>
  <w:style w:type="character" w:customStyle="1" w:styleId="af5">
    <w:name w:val="註解文字 字元"/>
    <w:basedOn w:val="a0"/>
    <w:link w:val="af4"/>
    <w:uiPriority w:val="99"/>
    <w:semiHidden/>
    <w:rsid w:val="008721A5"/>
    <w:rPr>
      <w:rFonts w:cs="Times New Roman"/>
    </w:rPr>
  </w:style>
  <w:style w:type="paragraph" w:styleId="af6">
    <w:name w:val="annotation subject"/>
    <w:basedOn w:val="af4"/>
    <w:next w:val="af4"/>
    <w:link w:val="af7"/>
    <w:uiPriority w:val="99"/>
    <w:semiHidden/>
    <w:rsid w:val="008721A5"/>
    <w:rPr>
      <w:b/>
      <w:bCs/>
    </w:rPr>
  </w:style>
  <w:style w:type="character" w:customStyle="1" w:styleId="af7">
    <w:name w:val="註解主旨 字元"/>
    <w:basedOn w:val="af5"/>
    <w:link w:val="af6"/>
    <w:uiPriority w:val="99"/>
    <w:semiHidden/>
    <w:rsid w:val="008721A5"/>
    <w:rPr>
      <w:rFonts w:cs="Times New Roman"/>
      <w:b/>
      <w:bCs/>
    </w:rPr>
  </w:style>
  <w:style w:type="character" w:styleId="af8">
    <w:name w:val="Hyperlink"/>
    <w:uiPriority w:val="99"/>
    <w:semiHidden/>
    <w:unhideWhenUsed/>
    <w:rsid w:val="00F02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BE94-FE0B-442E-BD0D-E9ED29B6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6967</Words>
  <Characters>77</Characters>
  <Application>Microsoft Office Word</Application>
  <DocSecurity>0</DocSecurity>
  <Lines>2</Lines>
  <Paragraphs>41</Paragraphs>
  <ScaleCrop>false</ScaleCrop>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2011-04-08T05:49:00Z</dcterms:created>
  <dcterms:modified xsi:type="dcterms:W3CDTF">2011-04-08T05:49:00Z</dcterms:modified>
</cp:coreProperties>
</file>